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B8FEC2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951D4D">
        <w:rPr>
          <w:bCs/>
          <w:noProof w:val="0"/>
          <w:sz w:val="24"/>
          <w:szCs w:val="24"/>
        </w:rPr>
        <w:t xml:space="preserve">113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B12CF">
        <w:rPr>
          <w:bCs/>
          <w:noProof w:val="0"/>
          <w:sz w:val="24"/>
          <w:szCs w:val="24"/>
        </w:rPr>
        <w:t>2100720</w:t>
      </w:r>
    </w:p>
    <w:p w14:paraId="11776FA6" w14:textId="33CCD40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51D4D">
        <w:rPr>
          <w:rFonts w:eastAsia="SimSun"/>
          <w:bCs/>
          <w:sz w:val="24"/>
          <w:szCs w:val="24"/>
          <w:lang w:eastAsia="zh-CN"/>
        </w:rPr>
        <w:t>25 January</w:t>
      </w:r>
      <w:r w:rsidR="00951D4D" w:rsidRPr="006574C0">
        <w:rPr>
          <w:rFonts w:eastAsia="SimSun"/>
          <w:bCs/>
          <w:sz w:val="24"/>
          <w:szCs w:val="24"/>
          <w:lang w:eastAsia="zh-CN"/>
        </w:rPr>
        <w:t xml:space="preserve"> </w:t>
      </w:r>
      <w:r w:rsidR="006574C0" w:rsidRPr="006574C0">
        <w:rPr>
          <w:rFonts w:eastAsia="SimSun"/>
          <w:bCs/>
          <w:sz w:val="24"/>
          <w:szCs w:val="24"/>
          <w:lang w:eastAsia="zh-CN"/>
        </w:rPr>
        <w:t xml:space="preserve">– </w:t>
      </w:r>
      <w:r w:rsidR="00951D4D">
        <w:rPr>
          <w:rFonts w:eastAsia="SimSun"/>
          <w:bCs/>
          <w:sz w:val="24"/>
          <w:szCs w:val="24"/>
          <w:lang w:eastAsia="zh-CN"/>
        </w:rPr>
        <w:t>5</w:t>
      </w:r>
      <w:r w:rsidR="006574C0" w:rsidRPr="006574C0">
        <w:rPr>
          <w:rFonts w:eastAsia="SimSun"/>
          <w:bCs/>
          <w:sz w:val="24"/>
          <w:szCs w:val="24"/>
          <w:lang w:eastAsia="zh-CN"/>
        </w:rPr>
        <w:t xml:space="preserve"> </w:t>
      </w:r>
      <w:r w:rsidR="00951D4D">
        <w:rPr>
          <w:rFonts w:eastAsia="SimSun"/>
          <w:bCs/>
          <w:sz w:val="24"/>
          <w:szCs w:val="24"/>
          <w:lang w:eastAsia="zh-CN"/>
        </w:rPr>
        <w:t>February</w:t>
      </w:r>
      <w:r w:rsidR="006574C0" w:rsidRPr="006574C0">
        <w:rPr>
          <w:rFonts w:eastAsia="SimSun"/>
          <w:bCs/>
          <w:sz w:val="24"/>
          <w:szCs w:val="24"/>
          <w:lang w:eastAsia="zh-CN"/>
        </w:rPr>
        <w:t xml:space="preserve"> 20</w:t>
      </w:r>
      <w:r w:rsidR="009376CD">
        <w:rPr>
          <w:rFonts w:eastAsia="SimSun"/>
          <w:bCs/>
          <w:sz w:val="24"/>
          <w:szCs w:val="24"/>
          <w:lang w:eastAsia="zh-CN"/>
        </w:rPr>
        <w:t>2</w:t>
      </w:r>
      <w:r w:rsidR="00951D4D">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3EF3F8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Pr>
          <w:rFonts w:cs="Arial"/>
          <w:b/>
          <w:bCs/>
          <w:sz w:val="24"/>
          <w:lang w:eastAsia="ja-JP"/>
        </w:rPr>
        <w:t>8.</w:t>
      </w:r>
      <w:r w:rsidR="001D5138">
        <w:rPr>
          <w:rFonts w:cs="Arial"/>
          <w:b/>
          <w:bCs/>
          <w:sz w:val="24"/>
          <w:lang w:eastAsia="ja-JP"/>
        </w:rPr>
        <w:t>11</w:t>
      </w:r>
      <w:r w:rsidR="00C81C33">
        <w:rPr>
          <w:rFonts w:cs="Arial"/>
          <w:b/>
          <w:bCs/>
          <w:sz w:val="24"/>
          <w:lang w:eastAsia="ja-JP"/>
        </w:rPr>
        <w:t>.</w:t>
      </w:r>
      <w:r w:rsidR="001D5138">
        <w:rPr>
          <w:rFonts w:cs="Arial"/>
          <w:b/>
          <w:bCs/>
          <w:sz w:val="24"/>
          <w:lang w:eastAsia="ja-JP"/>
        </w:rPr>
        <w:t>3.</w:t>
      </w:r>
      <w:r w:rsidR="00951D4D">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A5E45D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0C05">
        <w:rPr>
          <w:rFonts w:ascii="Arial" w:hAnsi="Arial" w:cs="Arial"/>
          <w:b/>
          <w:bCs/>
          <w:sz w:val="24"/>
        </w:rPr>
        <w:t xml:space="preserve">Positioning Integrity </w:t>
      </w:r>
      <w:r w:rsidR="00951D4D">
        <w:rPr>
          <w:rFonts w:ascii="Arial" w:hAnsi="Arial" w:cs="Arial"/>
          <w:b/>
          <w:bCs/>
          <w:sz w:val="24"/>
        </w:rPr>
        <w:t>Result Reporting</w:t>
      </w:r>
    </w:p>
    <w:p w14:paraId="1F147C23" w14:textId="2869A9B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D5138" w:rsidRPr="001D5138">
        <w:rPr>
          <w:rFonts w:ascii="Arial" w:hAnsi="Arial" w:cs="Arial"/>
          <w:b/>
          <w:bCs/>
          <w:sz w:val="24"/>
          <w:szCs w:val="24"/>
        </w:rPr>
        <w:t>FS_NR_pos_enh</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C4446F" w14:textId="4DEB961B" w:rsidR="00FD1EED" w:rsidRDefault="00C85AC2" w:rsidP="00A209D6">
      <w:r>
        <w:t>According to the SID of Rel-17 positioning enhancement, this study item should aim to provide some solutions relating to how positioning integrity could be fulfilled via network-assisted and/or UE-assisted mechanisms:</w:t>
      </w:r>
    </w:p>
    <w:tbl>
      <w:tblPr>
        <w:tblStyle w:val="TableGrid"/>
        <w:tblW w:w="9214" w:type="dxa"/>
        <w:tblInd w:w="562" w:type="dxa"/>
        <w:tblLook w:val="04A0" w:firstRow="1" w:lastRow="0" w:firstColumn="1" w:lastColumn="0" w:noHBand="0" w:noVBand="1"/>
      </w:tblPr>
      <w:tblGrid>
        <w:gridCol w:w="9214"/>
      </w:tblGrid>
      <w:tr w:rsidR="00AF3392" w14:paraId="103A6910" w14:textId="77777777" w:rsidTr="00AF3392">
        <w:tc>
          <w:tcPr>
            <w:tcW w:w="9214" w:type="dxa"/>
          </w:tcPr>
          <w:p w14:paraId="51A5626A" w14:textId="0635985F" w:rsidR="00AF3392" w:rsidRPr="00AF3392" w:rsidRDefault="00AF3392" w:rsidP="00AF3392">
            <w:pPr>
              <w:overflowPunct w:val="0"/>
              <w:autoSpaceDE w:val="0"/>
              <w:autoSpaceDN w:val="0"/>
              <w:adjustRightInd w:val="0"/>
              <w:ind w:right="-99"/>
              <w:rPr>
                <w:rFonts w:ascii="Arial" w:eastAsia="Batang" w:hAnsi="Arial" w:cs="Arial"/>
                <w:b/>
                <w:lang w:eastAsia="zh-CN"/>
              </w:rPr>
            </w:pPr>
            <w:r w:rsidRPr="00AF3392">
              <w:rPr>
                <w:rFonts w:ascii="Arial" w:eastAsia="SimSun" w:hAnsi="Arial" w:cs="Arial"/>
                <w:b/>
                <w:bCs/>
                <w:lang w:val="en-US" w:eastAsia="ja-JP"/>
              </w:rPr>
              <w:t xml:space="preserve">RP-202094 - </w:t>
            </w:r>
            <w:r w:rsidRPr="00AF3392">
              <w:rPr>
                <w:rFonts w:ascii="Arial" w:eastAsia="Batang" w:hAnsi="Arial" w:cs="Arial"/>
                <w:b/>
                <w:lang w:eastAsia="zh-CN"/>
              </w:rPr>
              <w:t>Revised SID: Study on NR Positioning Enhancements</w:t>
            </w:r>
          </w:p>
          <w:p w14:paraId="2AED095B" w14:textId="02993946" w:rsidR="00AF3392" w:rsidRDefault="00AF3392" w:rsidP="00AF3392">
            <w:pPr>
              <w:overflowPunct w:val="0"/>
              <w:autoSpaceDE w:val="0"/>
              <w:autoSpaceDN w:val="0"/>
              <w:adjustRightInd w:val="0"/>
              <w:ind w:left="720" w:right="-99"/>
              <w:rPr>
                <w:rFonts w:eastAsia="SimSun"/>
                <w:lang w:val="en-US" w:eastAsia="ja-JP"/>
              </w:rPr>
            </w:pPr>
            <w:r>
              <w:rPr>
                <w:rFonts w:eastAsia="SimSun"/>
                <w:lang w:val="en-US" w:eastAsia="ja-JP"/>
              </w:rPr>
              <w:t>2. Study solutions necessary to support integrity and reliability of assistance data and position information: [RAN2]</w:t>
            </w:r>
          </w:p>
          <w:p w14:paraId="628CA3D9" w14:textId="77777777" w:rsidR="00AF3392" w:rsidRDefault="00AF3392" w:rsidP="00AF3392">
            <w:pPr>
              <w:numPr>
                <w:ilvl w:val="1"/>
                <w:numId w:val="11"/>
              </w:numPr>
              <w:overflowPunct w:val="0"/>
              <w:autoSpaceDE w:val="0"/>
              <w:autoSpaceDN w:val="0"/>
              <w:adjustRightInd w:val="0"/>
              <w:ind w:right="-99"/>
              <w:rPr>
                <w:rFonts w:eastAsia="SimSun"/>
                <w:lang w:eastAsia="ja-JP"/>
              </w:rPr>
            </w:pPr>
            <w:r>
              <w:rPr>
                <w:rFonts w:eastAsia="SimSun"/>
                <w:lang w:val="en-US" w:eastAsia="ja-JP"/>
              </w:rPr>
              <w:t>Identify positioning integrity KPIs and relevant use cases.</w:t>
            </w:r>
          </w:p>
          <w:p w14:paraId="4876BA16" w14:textId="77777777" w:rsidR="00AF3392" w:rsidRDefault="00AF3392" w:rsidP="00AF3392">
            <w:pPr>
              <w:numPr>
                <w:ilvl w:val="1"/>
                <w:numId w:val="11"/>
              </w:numPr>
              <w:overflowPunct w:val="0"/>
              <w:autoSpaceDE w:val="0"/>
              <w:autoSpaceDN w:val="0"/>
              <w:adjustRightInd w:val="0"/>
              <w:rPr>
                <w:rFonts w:eastAsia="SimSun"/>
                <w:lang w:val="en-US" w:eastAsia="ja-JP"/>
              </w:rPr>
            </w:pPr>
            <w:r>
              <w:rPr>
                <w:rFonts w:eastAsia="SimSun"/>
                <w:lang w:val="en-US" w:eastAsia="ja-JP"/>
              </w:rPr>
              <w:t xml:space="preserve">Identify the error sources, threat models, occurrence rates and failure modes requiring positioning integrity validation and reporting. </w:t>
            </w:r>
          </w:p>
          <w:p w14:paraId="0DCDBA4F" w14:textId="77777777" w:rsidR="00AF3392" w:rsidRPr="00C85AC2" w:rsidRDefault="00AF3392" w:rsidP="00AF3392">
            <w:pPr>
              <w:numPr>
                <w:ilvl w:val="1"/>
                <w:numId w:val="11"/>
              </w:numPr>
              <w:overflowPunct w:val="0"/>
              <w:autoSpaceDE w:val="0"/>
              <w:autoSpaceDN w:val="0"/>
              <w:adjustRightInd w:val="0"/>
              <w:ind w:right="-99"/>
              <w:rPr>
                <w:rFonts w:eastAsia="SimSun"/>
                <w:highlight w:val="yellow"/>
                <w:lang w:eastAsia="ja-JP"/>
              </w:rPr>
            </w:pPr>
            <w:r w:rsidRPr="00C85AC2">
              <w:rPr>
                <w:rFonts w:eastAsia="SimSun"/>
                <w:highlight w:val="yellow"/>
                <w:lang w:val="en-US" w:eastAsia="ja-JP"/>
              </w:rPr>
              <w:t>Study methodologies for network-assisted and UE-assisted integrity.</w:t>
            </w:r>
          </w:p>
          <w:p w14:paraId="1D4C392E" w14:textId="6C2620DC" w:rsidR="00AF3392" w:rsidRPr="00AF3392" w:rsidRDefault="00AF3392" w:rsidP="00AF3392">
            <w:pPr>
              <w:ind w:left="1530" w:right="-99" w:hanging="990"/>
              <w:rPr>
                <w:rFonts w:eastAsia="SimSun"/>
                <w:lang w:eastAsia="ja-JP"/>
              </w:rPr>
            </w:pPr>
            <w:r>
              <w:rPr>
                <w:rFonts w:eastAsia="SimSun"/>
                <w:lang w:eastAsia="ja-JP"/>
              </w:rPr>
              <w:t>NOTE 4:</w:t>
            </w:r>
            <w:r>
              <w:rPr>
                <w:rFonts w:eastAsia="SimSun"/>
                <w:lang w:eastAsia="ja-JP"/>
              </w:rPr>
              <w:tab/>
            </w:r>
            <w:r w:rsidRPr="00C85AC2">
              <w:rPr>
                <w:lang w:eastAsia="zh-CN"/>
              </w:rPr>
              <w:t>Objective 2 is applicable to GNSS positioning methods.</w:t>
            </w:r>
          </w:p>
        </w:tc>
      </w:tr>
    </w:tbl>
    <w:p w14:paraId="62C8E4A1" w14:textId="77777777" w:rsidR="00AF3392" w:rsidRDefault="00AF3392" w:rsidP="00FD1EED">
      <w:pPr>
        <w:jc w:val="both"/>
      </w:pPr>
    </w:p>
    <w:p w14:paraId="5A5BDF88" w14:textId="1D6E074C" w:rsidR="00C85AC2" w:rsidRDefault="00951D4D" w:rsidP="00FD1EED">
      <w:pPr>
        <w:jc w:val="both"/>
      </w:pPr>
      <w:r>
        <w:t xml:space="preserve">To evaluate whether a positioning system is still trustable in terms of providing an accurate position estimate, certain KPIs and metrics have been defined to gauge the trustworthiness. More specifically, KPIs such as AL and TIR could be provided by the LCS client, and the integrity computing entity may calculate the PL to see if the positioning system is still available to provide a trustable estimate. In particular, if PL is greater than AL, then </w:t>
      </w:r>
      <w:r w:rsidR="006952AC">
        <w:t xml:space="preserve">the possible maximum error is no longer tolerable, and </w:t>
      </w:r>
      <w:r w:rsidR="007415A9">
        <w:t xml:space="preserve">a warning should be issued to the </w:t>
      </w:r>
      <w:r w:rsidR="006952AC">
        <w:t xml:space="preserve">LCS client (via reporting of integrity results) </w:t>
      </w:r>
      <w:r w:rsidR="007415A9">
        <w:t xml:space="preserve">in order </w:t>
      </w:r>
      <w:r w:rsidR="006952AC">
        <w:t xml:space="preserve">to </w:t>
      </w:r>
      <w:r w:rsidR="007415A9">
        <w:t>prevent it from</w:t>
      </w:r>
      <w:r w:rsidR="006952AC">
        <w:t xml:space="preserve"> using inappropriate position estimate under such circumstance.</w:t>
      </w:r>
    </w:p>
    <w:p w14:paraId="3C948F4F" w14:textId="4E4C2B97" w:rsidR="006952AC" w:rsidRDefault="006952AC" w:rsidP="00FD1EED">
      <w:pPr>
        <w:jc w:val="both"/>
      </w:pPr>
      <w:r>
        <w:t xml:space="preserve">From 3GPP specification perspective, the impacts </w:t>
      </w:r>
      <w:r w:rsidR="00A933FB">
        <w:t xml:space="preserve">of integrity result reporting </w:t>
      </w:r>
      <w:r>
        <w:t>mainly come from scenarios where the LCS client and integrity computing entity reside at Network and UE respectively (or vice versa), where LPP signalling is needed to exchange information including KPIs and integrity results between Network and UE. In our understanding, this is a common assumption among most companies based on the Table 9.4.1.1.1 that has been formulated for Text Proposal of the TR during email discussion [Post112-e][618]:</w:t>
      </w:r>
    </w:p>
    <w:tbl>
      <w:tblPr>
        <w:tblStyle w:val="TableGrid"/>
        <w:tblW w:w="5000" w:type="pct"/>
        <w:tblLook w:val="04A0" w:firstRow="1" w:lastRow="0" w:firstColumn="1" w:lastColumn="0" w:noHBand="0" w:noVBand="1"/>
      </w:tblPr>
      <w:tblGrid>
        <w:gridCol w:w="1847"/>
        <w:gridCol w:w="967"/>
        <w:gridCol w:w="1487"/>
        <w:gridCol w:w="1437"/>
        <w:gridCol w:w="1913"/>
        <w:gridCol w:w="1980"/>
      </w:tblGrid>
      <w:tr w:rsidR="006952AC" w14:paraId="0B400467" w14:textId="77777777" w:rsidTr="006952AC">
        <w:trPr>
          <w:trHeight w:val="695"/>
        </w:trPr>
        <w:tc>
          <w:tcPr>
            <w:tcW w:w="959" w:type="pct"/>
            <w:tcBorders>
              <w:top w:val="single" w:sz="4" w:space="0" w:color="auto"/>
              <w:left w:val="single" w:sz="4" w:space="0" w:color="auto"/>
              <w:bottom w:val="single" w:sz="4" w:space="0" w:color="auto"/>
              <w:right w:val="single" w:sz="4" w:space="0" w:color="auto"/>
            </w:tcBorders>
            <w:hideMark/>
          </w:tcPr>
          <w:p w14:paraId="2E9DF1D3" w14:textId="77777777" w:rsidR="006952AC" w:rsidRDefault="006952AC">
            <w:pPr>
              <w:jc w:val="center"/>
              <w:rPr>
                <w:rFonts w:ascii="Arial" w:hAnsi="Arial" w:cs="Arial"/>
                <w:b/>
                <w:bCs/>
                <w:sz w:val="18"/>
                <w:szCs w:val="18"/>
              </w:rPr>
            </w:pPr>
            <w:r>
              <w:rPr>
                <w:rFonts w:ascii="Arial" w:hAnsi="Arial" w:cs="Arial"/>
                <w:b/>
                <w:bCs/>
                <w:sz w:val="18"/>
                <w:szCs w:val="18"/>
              </w:rPr>
              <w:t>Positioning Mode</w:t>
            </w:r>
          </w:p>
        </w:tc>
        <w:tc>
          <w:tcPr>
            <w:tcW w:w="502" w:type="pct"/>
            <w:tcBorders>
              <w:top w:val="single" w:sz="4" w:space="0" w:color="auto"/>
              <w:left w:val="single" w:sz="4" w:space="0" w:color="auto"/>
              <w:bottom w:val="single" w:sz="4" w:space="0" w:color="auto"/>
              <w:right w:val="single" w:sz="4" w:space="0" w:color="auto"/>
            </w:tcBorders>
            <w:hideMark/>
          </w:tcPr>
          <w:p w14:paraId="7C530AE2" w14:textId="77777777" w:rsidR="006952AC" w:rsidRDefault="006952AC">
            <w:pPr>
              <w:jc w:val="center"/>
              <w:rPr>
                <w:rFonts w:ascii="Arial" w:hAnsi="Arial" w:cs="Arial"/>
                <w:b/>
                <w:bCs/>
                <w:sz w:val="18"/>
                <w:szCs w:val="18"/>
              </w:rPr>
            </w:pPr>
            <w:r>
              <w:rPr>
                <w:rFonts w:ascii="Arial" w:hAnsi="Arial" w:cs="Arial"/>
                <w:b/>
                <w:bCs/>
                <w:sz w:val="18"/>
                <w:szCs w:val="18"/>
              </w:rPr>
              <w:t>Location service type</w:t>
            </w:r>
          </w:p>
        </w:tc>
        <w:tc>
          <w:tcPr>
            <w:tcW w:w="772" w:type="pct"/>
            <w:tcBorders>
              <w:top w:val="single" w:sz="4" w:space="0" w:color="auto"/>
              <w:left w:val="single" w:sz="4" w:space="0" w:color="auto"/>
              <w:bottom w:val="single" w:sz="4" w:space="0" w:color="auto"/>
              <w:right w:val="single" w:sz="4" w:space="0" w:color="auto"/>
            </w:tcBorders>
            <w:hideMark/>
          </w:tcPr>
          <w:p w14:paraId="18D57B23" w14:textId="77777777" w:rsidR="006952AC" w:rsidRDefault="006952AC">
            <w:pPr>
              <w:spacing w:after="0"/>
              <w:jc w:val="center"/>
              <w:rPr>
                <w:rFonts w:ascii="Arial" w:hAnsi="Arial" w:cs="Arial"/>
                <w:b/>
                <w:bCs/>
                <w:sz w:val="18"/>
                <w:szCs w:val="18"/>
                <w:lang w:val="en-US"/>
              </w:rPr>
            </w:pPr>
            <w:r>
              <w:rPr>
                <w:rFonts w:ascii="Arial" w:hAnsi="Arial" w:cs="Arial"/>
                <w:b/>
                <w:bCs/>
                <w:sz w:val="18"/>
                <w:szCs w:val="18"/>
                <w:lang w:val="en-US"/>
              </w:rPr>
              <w:t xml:space="preserve">Source of KPIs* </w:t>
            </w:r>
          </w:p>
        </w:tc>
        <w:tc>
          <w:tcPr>
            <w:tcW w:w="746" w:type="pct"/>
            <w:tcBorders>
              <w:top w:val="single" w:sz="4" w:space="0" w:color="auto"/>
              <w:left w:val="single" w:sz="4" w:space="0" w:color="auto"/>
              <w:bottom w:val="single" w:sz="4" w:space="0" w:color="auto"/>
              <w:right w:val="single" w:sz="4" w:space="0" w:color="auto"/>
            </w:tcBorders>
            <w:hideMark/>
          </w:tcPr>
          <w:p w14:paraId="50E1AB15" w14:textId="77777777" w:rsidR="006952AC" w:rsidRDefault="006952AC">
            <w:pPr>
              <w:spacing w:after="0"/>
              <w:jc w:val="center"/>
              <w:rPr>
                <w:rFonts w:ascii="Arial" w:hAnsi="Arial" w:cs="Arial"/>
                <w:sz w:val="18"/>
                <w:szCs w:val="18"/>
              </w:rPr>
            </w:pPr>
            <w:r>
              <w:rPr>
                <w:rFonts w:ascii="Arial" w:hAnsi="Arial" w:cs="Arial"/>
                <w:b/>
                <w:bCs/>
                <w:sz w:val="18"/>
                <w:szCs w:val="18"/>
              </w:rPr>
              <w:t>Source of Integrity results*</w:t>
            </w:r>
          </w:p>
        </w:tc>
        <w:tc>
          <w:tcPr>
            <w:tcW w:w="993" w:type="pct"/>
            <w:tcBorders>
              <w:top w:val="single" w:sz="4" w:space="0" w:color="auto"/>
              <w:left w:val="single" w:sz="4" w:space="0" w:color="auto"/>
              <w:bottom w:val="single" w:sz="4" w:space="0" w:color="auto"/>
              <w:right w:val="single" w:sz="4" w:space="0" w:color="auto"/>
            </w:tcBorders>
            <w:hideMark/>
          </w:tcPr>
          <w:p w14:paraId="7C6D1566" w14:textId="77777777" w:rsidR="006952AC" w:rsidRDefault="006952AC">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28" w:type="pct"/>
            <w:tcBorders>
              <w:top w:val="single" w:sz="4" w:space="0" w:color="auto"/>
              <w:left w:val="single" w:sz="4" w:space="0" w:color="auto"/>
              <w:bottom w:val="single" w:sz="4" w:space="0" w:color="auto"/>
              <w:right w:val="single" w:sz="4" w:space="0" w:color="auto"/>
            </w:tcBorders>
            <w:hideMark/>
          </w:tcPr>
          <w:p w14:paraId="7FDAE2E9" w14:textId="77777777" w:rsidR="006952AC" w:rsidRDefault="006952AC">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6952AC" w14:paraId="6B478711" w14:textId="77777777" w:rsidTr="006952AC">
        <w:tc>
          <w:tcPr>
            <w:tcW w:w="959" w:type="pct"/>
            <w:vMerge w:val="restart"/>
            <w:tcBorders>
              <w:top w:val="single" w:sz="4" w:space="0" w:color="auto"/>
              <w:left w:val="single" w:sz="4" w:space="0" w:color="auto"/>
              <w:bottom w:val="single" w:sz="4" w:space="0" w:color="auto"/>
              <w:right w:val="single" w:sz="4" w:space="0" w:color="auto"/>
            </w:tcBorders>
          </w:tcPr>
          <w:p w14:paraId="31F58B5B" w14:textId="77777777" w:rsidR="006952AC" w:rsidRDefault="006952AC">
            <w:pPr>
              <w:rPr>
                <w:rFonts w:ascii="Arial" w:hAnsi="Arial" w:cs="Arial"/>
                <w:sz w:val="18"/>
                <w:szCs w:val="18"/>
              </w:rPr>
            </w:pPr>
            <w:r>
              <w:rPr>
                <w:rFonts w:ascii="Arial" w:hAnsi="Arial" w:cs="Arial"/>
                <w:sz w:val="18"/>
                <w:szCs w:val="18"/>
              </w:rPr>
              <w:t>Network assisted (UE-based): Positioning integrity result is derived by the UE</w:t>
            </w:r>
          </w:p>
          <w:p w14:paraId="33EFF4C8" w14:textId="77777777" w:rsidR="006952AC" w:rsidRDefault="006952AC">
            <w:pPr>
              <w:rPr>
                <w:rFonts w:ascii="Arial" w:hAnsi="Arial" w:cs="Arial"/>
                <w:sz w:val="18"/>
                <w:szCs w:val="18"/>
              </w:rPr>
            </w:pPr>
          </w:p>
        </w:tc>
        <w:tc>
          <w:tcPr>
            <w:tcW w:w="502" w:type="pct"/>
            <w:tcBorders>
              <w:top w:val="single" w:sz="4" w:space="0" w:color="auto"/>
              <w:left w:val="single" w:sz="4" w:space="0" w:color="auto"/>
              <w:bottom w:val="single" w:sz="4" w:space="0" w:color="auto"/>
              <w:right w:val="single" w:sz="4" w:space="0" w:color="auto"/>
            </w:tcBorders>
            <w:hideMark/>
          </w:tcPr>
          <w:p w14:paraId="178E6484" w14:textId="77777777" w:rsidR="006952AC" w:rsidRDefault="006952AC">
            <w:pPr>
              <w:rPr>
                <w:rFonts w:ascii="Arial" w:hAnsi="Arial" w:cs="Arial"/>
                <w:sz w:val="18"/>
                <w:szCs w:val="18"/>
              </w:rPr>
            </w:pPr>
            <w:r>
              <w:rPr>
                <w:rFonts w:ascii="Arial" w:hAnsi="Arial" w:cs="Arial"/>
                <w:sz w:val="18"/>
                <w:szCs w:val="18"/>
              </w:rPr>
              <w:t>MO-LR</w:t>
            </w:r>
          </w:p>
        </w:tc>
        <w:tc>
          <w:tcPr>
            <w:tcW w:w="772" w:type="pct"/>
            <w:tcBorders>
              <w:top w:val="single" w:sz="4" w:space="0" w:color="auto"/>
              <w:left w:val="single" w:sz="4" w:space="0" w:color="auto"/>
              <w:bottom w:val="single" w:sz="4" w:space="0" w:color="auto"/>
              <w:right w:val="single" w:sz="4" w:space="0" w:color="auto"/>
            </w:tcBorders>
            <w:hideMark/>
          </w:tcPr>
          <w:p w14:paraId="4CB2D6D9" w14:textId="77777777" w:rsidR="006952AC" w:rsidRDefault="006952AC">
            <w:pPr>
              <w:rPr>
                <w:rFonts w:ascii="Arial" w:hAnsi="Arial" w:cs="Arial"/>
                <w:sz w:val="18"/>
                <w:szCs w:val="18"/>
              </w:rPr>
            </w:pPr>
            <w:r>
              <w:rPr>
                <w:rFonts w:ascii="Arial" w:hAnsi="Arial" w:cs="Arial"/>
                <w:sz w:val="18"/>
                <w:szCs w:val="18"/>
              </w:rPr>
              <w:t>UE internal implementation</w:t>
            </w:r>
          </w:p>
        </w:tc>
        <w:tc>
          <w:tcPr>
            <w:tcW w:w="746" w:type="pct"/>
            <w:tcBorders>
              <w:top w:val="single" w:sz="4" w:space="0" w:color="auto"/>
              <w:left w:val="single" w:sz="4" w:space="0" w:color="auto"/>
              <w:bottom w:val="single" w:sz="4" w:space="0" w:color="auto"/>
              <w:right w:val="single" w:sz="4" w:space="0" w:color="auto"/>
            </w:tcBorders>
            <w:hideMark/>
          </w:tcPr>
          <w:p w14:paraId="03E913D5" w14:textId="77777777" w:rsidR="006952AC" w:rsidRDefault="006952AC">
            <w:pPr>
              <w:rPr>
                <w:rFonts w:ascii="Arial" w:hAnsi="Arial" w:cs="Arial"/>
                <w:sz w:val="18"/>
                <w:szCs w:val="18"/>
              </w:rPr>
            </w:pPr>
            <w:r>
              <w:rPr>
                <w:rFonts w:ascii="Arial" w:hAnsi="Arial" w:cs="Arial"/>
                <w:sz w:val="18"/>
                <w:szCs w:val="18"/>
              </w:rPr>
              <w:t xml:space="preserve">UE internal implementation </w:t>
            </w:r>
          </w:p>
        </w:tc>
        <w:tc>
          <w:tcPr>
            <w:tcW w:w="993" w:type="pct"/>
            <w:tcBorders>
              <w:top w:val="single" w:sz="4" w:space="0" w:color="auto"/>
              <w:left w:val="single" w:sz="4" w:space="0" w:color="auto"/>
              <w:bottom w:val="single" w:sz="4" w:space="0" w:color="auto"/>
              <w:right w:val="single" w:sz="4" w:space="0" w:color="auto"/>
            </w:tcBorders>
            <w:hideMark/>
          </w:tcPr>
          <w:p w14:paraId="1FAA936B" w14:textId="77777777" w:rsidR="006952AC" w:rsidRDefault="006952AC">
            <w:pPr>
              <w:spacing w:after="60"/>
              <w:rPr>
                <w:rFonts w:ascii="Arial" w:hAnsi="Arial" w:cs="Arial"/>
                <w:sz w:val="18"/>
                <w:szCs w:val="18"/>
              </w:rPr>
            </w:pPr>
            <w:r>
              <w:rPr>
                <w:rFonts w:ascii="Arial" w:hAnsi="Arial" w:cs="Arial"/>
                <w:sz w:val="18"/>
                <w:szCs w:val="18"/>
              </w:rPr>
              <w:t xml:space="preserve">From LMF to UE: </w:t>
            </w:r>
          </w:p>
          <w:p w14:paraId="6DE63CD2" w14:textId="77777777" w:rsidR="006952AC" w:rsidRDefault="006952AC">
            <w:pPr>
              <w:spacing w:after="0"/>
              <w:rPr>
                <w:rFonts w:ascii="Arial" w:hAnsi="Arial" w:cs="Arial"/>
                <w:sz w:val="18"/>
                <w:szCs w:val="18"/>
              </w:rPr>
            </w:pPr>
            <w:r>
              <w:rPr>
                <w:rFonts w:ascii="Arial" w:hAnsi="Arial" w:cs="Arial"/>
                <w:sz w:val="18"/>
                <w:szCs w:val="18"/>
              </w:rPr>
              <w:t>- Feared events in the GNSS Assistance Data</w:t>
            </w:r>
          </w:p>
          <w:p w14:paraId="34B83309" w14:textId="77777777" w:rsidR="006952AC" w:rsidRDefault="006952AC">
            <w:pPr>
              <w:spacing w:after="0"/>
              <w:rPr>
                <w:rFonts w:ascii="Arial" w:hAnsi="Arial" w:cs="Arial"/>
                <w:sz w:val="18"/>
                <w:szCs w:val="18"/>
              </w:rPr>
            </w:pPr>
            <w:r>
              <w:rPr>
                <w:rFonts w:ascii="Arial" w:hAnsi="Arial" w:cs="Arial"/>
                <w:sz w:val="18"/>
                <w:szCs w:val="18"/>
              </w:rPr>
              <w:t>- Feared events in transmitting the data to the UE</w:t>
            </w:r>
          </w:p>
          <w:p w14:paraId="198AA5BB" w14:textId="77777777" w:rsidR="006952AC" w:rsidRDefault="006952AC">
            <w:pPr>
              <w:rPr>
                <w:rFonts w:ascii="Arial" w:hAnsi="Arial" w:cs="Arial"/>
                <w:sz w:val="18"/>
                <w:szCs w:val="18"/>
                <w:lang w:val="fr-FR"/>
              </w:rPr>
            </w:pPr>
            <w:r>
              <w:rPr>
                <w:rFonts w:ascii="Arial" w:hAnsi="Arial" w:cs="Arial"/>
                <w:sz w:val="18"/>
                <w:szCs w:val="18"/>
              </w:rPr>
              <w:t>- GNSS feared events</w:t>
            </w:r>
          </w:p>
        </w:tc>
        <w:tc>
          <w:tcPr>
            <w:tcW w:w="1028" w:type="pct"/>
            <w:tcBorders>
              <w:top w:val="single" w:sz="4" w:space="0" w:color="auto"/>
              <w:left w:val="single" w:sz="4" w:space="0" w:color="auto"/>
              <w:bottom w:val="single" w:sz="4" w:space="0" w:color="auto"/>
              <w:right w:val="single" w:sz="4" w:space="0" w:color="auto"/>
            </w:tcBorders>
          </w:tcPr>
          <w:p w14:paraId="7704B904" w14:textId="77777777" w:rsidR="006952AC" w:rsidRDefault="006952AC">
            <w:pPr>
              <w:rPr>
                <w:rFonts w:ascii="Arial" w:hAnsi="Arial" w:cs="Arial"/>
                <w:sz w:val="18"/>
                <w:szCs w:val="18"/>
              </w:rPr>
            </w:pPr>
            <w:r>
              <w:rPr>
                <w:rFonts w:ascii="Arial" w:hAnsi="Arial" w:cs="Arial"/>
                <w:sz w:val="18"/>
                <w:szCs w:val="18"/>
              </w:rPr>
              <w:t>Procedure to transfer Integrity assistance information from LMF to UE</w:t>
            </w:r>
          </w:p>
          <w:p w14:paraId="0B3AD69A" w14:textId="77777777" w:rsidR="006952AC" w:rsidRDefault="006952AC">
            <w:pPr>
              <w:rPr>
                <w:rFonts w:ascii="Arial" w:hAnsi="Arial" w:cs="Arial"/>
                <w:sz w:val="18"/>
                <w:szCs w:val="18"/>
              </w:rPr>
            </w:pPr>
          </w:p>
        </w:tc>
      </w:tr>
      <w:tr w:rsidR="006952AC" w14:paraId="2E53E0CC" w14:textId="77777777" w:rsidTr="006952AC">
        <w:tc>
          <w:tcPr>
            <w:tcW w:w="0" w:type="auto"/>
            <w:vMerge/>
            <w:tcBorders>
              <w:top w:val="single" w:sz="4" w:space="0" w:color="auto"/>
              <w:left w:val="single" w:sz="4" w:space="0" w:color="auto"/>
              <w:bottom w:val="single" w:sz="4" w:space="0" w:color="auto"/>
              <w:right w:val="single" w:sz="4" w:space="0" w:color="auto"/>
            </w:tcBorders>
            <w:vAlign w:val="center"/>
            <w:hideMark/>
          </w:tcPr>
          <w:p w14:paraId="32158F10" w14:textId="77777777" w:rsidR="006952AC" w:rsidRDefault="006952AC">
            <w:pPr>
              <w:spacing w:after="0"/>
              <w:rPr>
                <w:rFonts w:ascii="Arial" w:hAnsi="Arial" w:cs="Arial"/>
                <w:sz w:val="18"/>
                <w:szCs w:val="18"/>
              </w:rPr>
            </w:pPr>
          </w:p>
        </w:tc>
        <w:tc>
          <w:tcPr>
            <w:tcW w:w="502" w:type="pct"/>
            <w:tcBorders>
              <w:top w:val="single" w:sz="4" w:space="0" w:color="auto"/>
              <w:left w:val="single" w:sz="4" w:space="0" w:color="auto"/>
              <w:bottom w:val="single" w:sz="4" w:space="0" w:color="auto"/>
              <w:right w:val="single" w:sz="4" w:space="0" w:color="auto"/>
            </w:tcBorders>
            <w:hideMark/>
          </w:tcPr>
          <w:p w14:paraId="001E2445" w14:textId="77777777" w:rsidR="006952AC" w:rsidRDefault="006952AC">
            <w:pPr>
              <w:rPr>
                <w:rFonts w:ascii="Arial" w:hAnsi="Arial" w:cs="Arial"/>
                <w:sz w:val="18"/>
                <w:szCs w:val="18"/>
              </w:rPr>
            </w:pPr>
            <w:r>
              <w:rPr>
                <w:rFonts w:ascii="Arial" w:hAnsi="Arial" w:cs="Arial"/>
                <w:sz w:val="18"/>
                <w:szCs w:val="18"/>
              </w:rPr>
              <w:t>MT-LR</w:t>
            </w:r>
          </w:p>
        </w:tc>
        <w:tc>
          <w:tcPr>
            <w:tcW w:w="772" w:type="pct"/>
            <w:tcBorders>
              <w:top w:val="single" w:sz="4" w:space="0" w:color="auto"/>
              <w:left w:val="single" w:sz="4" w:space="0" w:color="auto"/>
              <w:bottom w:val="single" w:sz="4" w:space="0" w:color="auto"/>
              <w:right w:val="single" w:sz="4" w:space="0" w:color="auto"/>
            </w:tcBorders>
          </w:tcPr>
          <w:p w14:paraId="1F621B2C" w14:textId="77777777" w:rsidR="006952AC" w:rsidRDefault="006952AC">
            <w:pPr>
              <w:rPr>
                <w:rFonts w:ascii="Arial" w:hAnsi="Arial" w:cs="Arial"/>
                <w:sz w:val="18"/>
                <w:szCs w:val="18"/>
              </w:rPr>
            </w:pPr>
            <w:r>
              <w:rPr>
                <w:rFonts w:ascii="Arial" w:hAnsi="Arial" w:cs="Arial"/>
                <w:sz w:val="18"/>
                <w:szCs w:val="18"/>
              </w:rPr>
              <w:t xml:space="preserve">From LMF </w:t>
            </w:r>
          </w:p>
          <w:p w14:paraId="11B931FE" w14:textId="77777777" w:rsidR="006952AC" w:rsidRDefault="006952AC">
            <w:pPr>
              <w:rPr>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08BF9852" w14:textId="77777777" w:rsidR="006952AC" w:rsidRDefault="006952AC">
            <w:pPr>
              <w:rPr>
                <w:rFonts w:ascii="Arial" w:hAnsi="Arial" w:cs="Arial"/>
                <w:sz w:val="18"/>
                <w:szCs w:val="18"/>
              </w:rPr>
            </w:pPr>
            <w:r>
              <w:rPr>
                <w:rFonts w:ascii="Arial" w:hAnsi="Arial" w:cs="Arial"/>
                <w:sz w:val="18"/>
                <w:szCs w:val="18"/>
              </w:rPr>
              <w:t>From UE</w:t>
            </w:r>
          </w:p>
        </w:tc>
        <w:tc>
          <w:tcPr>
            <w:tcW w:w="993" w:type="pct"/>
            <w:tcBorders>
              <w:top w:val="single" w:sz="4" w:space="0" w:color="auto"/>
              <w:left w:val="single" w:sz="4" w:space="0" w:color="auto"/>
              <w:bottom w:val="single" w:sz="4" w:space="0" w:color="auto"/>
              <w:right w:val="single" w:sz="4" w:space="0" w:color="auto"/>
            </w:tcBorders>
            <w:hideMark/>
          </w:tcPr>
          <w:p w14:paraId="39433A5C" w14:textId="77777777" w:rsidR="006952AC" w:rsidRDefault="006952AC">
            <w:pPr>
              <w:spacing w:after="60"/>
              <w:rPr>
                <w:rFonts w:ascii="Arial" w:hAnsi="Arial" w:cs="Arial"/>
                <w:sz w:val="18"/>
                <w:szCs w:val="18"/>
              </w:rPr>
            </w:pPr>
            <w:r>
              <w:rPr>
                <w:rFonts w:ascii="Arial" w:hAnsi="Arial" w:cs="Arial"/>
                <w:sz w:val="18"/>
                <w:szCs w:val="18"/>
              </w:rPr>
              <w:t xml:space="preserve">From LMF to UE: </w:t>
            </w:r>
          </w:p>
          <w:p w14:paraId="6322BA94" w14:textId="77777777" w:rsidR="006952AC" w:rsidRDefault="006952AC">
            <w:pPr>
              <w:spacing w:after="0"/>
              <w:rPr>
                <w:rFonts w:ascii="Arial" w:hAnsi="Arial" w:cs="Arial"/>
                <w:sz w:val="18"/>
                <w:szCs w:val="18"/>
              </w:rPr>
            </w:pPr>
            <w:r>
              <w:rPr>
                <w:rFonts w:ascii="Arial" w:hAnsi="Arial" w:cs="Arial"/>
                <w:sz w:val="18"/>
                <w:szCs w:val="18"/>
              </w:rPr>
              <w:t>- Feared events in the GNSS Assistance Data</w:t>
            </w:r>
          </w:p>
          <w:p w14:paraId="465CB3D4" w14:textId="77777777" w:rsidR="006952AC" w:rsidRDefault="006952AC">
            <w:pPr>
              <w:spacing w:after="0"/>
              <w:rPr>
                <w:rFonts w:ascii="Arial" w:hAnsi="Arial" w:cs="Arial"/>
                <w:sz w:val="18"/>
                <w:szCs w:val="18"/>
              </w:rPr>
            </w:pPr>
            <w:r>
              <w:rPr>
                <w:rFonts w:ascii="Arial" w:hAnsi="Arial" w:cs="Arial"/>
                <w:sz w:val="18"/>
                <w:szCs w:val="18"/>
              </w:rPr>
              <w:t>- Feared events in transmitting the data to the UE</w:t>
            </w:r>
          </w:p>
          <w:p w14:paraId="6D6BB3B7" w14:textId="77777777" w:rsidR="006952AC" w:rsidRDefault="006952AC">
            <w:pPr>
              <w:rPr>
                <w:rFonts w:ascii="Arial" w:hAnsi="Arial" w:cs="Arial"/>
                <w:sz w:val="18"/>
                <w:szCs w:val="18"/>
                <w:lang w:val="fr-FR"/>
              </w:rPr>
            </w:pPr>
            <w:r>
              <w:rPr>
                <w:rFonts w:ascii="Arial" w:hAnsi="Arial" w:cs="Arial"/>
                <w:sz w:val="18"/>
                <w:szCs w:val="18"/>
              </w:rPr>
              <w:t>- GNSS feared events</w:t>
            </w:r>
          </w:p>
        </w:tc>
        <w:tc>
          <w:tcPr>
            <w:tcW w:w="1028" w:type="pct"/>
            <w:tcBorders>
              <w:top w:val="single" w:sz="4" w:space="0" w:color="auto"/>
              <w:left w:val="single" w:sz="4" w:space="0" w:color="auto"/>
              <w:bottom w:val="single" w:sz="4" w:space="0" w:color="auto"/>
              <w:right w:val="single" w:sz="4" w:space="0" w:color="auto"/>
            </w:tcBorders>
          </w:tcPr>
          <w:p w14:paraId="57DA5C4E" w14:textId="77777777" w:rsidR="006952AC" w:rsidRPr="007415A9" w:rsidRDefault="006952AC">
            <w:pPr>
              <w:rPr>
                <w:rFonts w:ascii="Arial" w:hAnsi="Arial" w:cs="Arial"/>
                <w:sz w:val="18"/>
                <w:szCs w:val="18"/>
              </w:rPr>
            </w:pPr>
            <w:r w:rsidRPr="007415A9">
              <w:rPr>
                <w:rFonts w:ascii="Arial" w:hAnsi="Arial" w:cs="Arial"/>
                <w:sz w:val="18"/>
                <w:szCs w:val="18"/>
              </w:rPr>
              <w:t>Procedure to transfer Integrity assistance information and KPIs from LMF to UE</w:t>
            </w:r>
          </w:p>
          <w:p w14:paraId="6F13FAAB" w14:textId="77777777" w:rsidR="006952AC" w:rsidRDefault="006952AC">
            <w:pPr>
              <w:rPr>
                <w:rFonts w:ascii="Arial" w:hAnsi="Arial" w:cs="Arial"/>
                <w:sz w:val="18"/>
                <w:szCs w:val="18"/>
              </w:rPr>
            </w:pPr>
            <w:r w:rsidRPr="007415A9">
              <w:rPr>
                <w:rFonts w:ascii="Arial" w:hAnsi="Arial" w:cs="Arial"/>
                <w:sz w:val="18"/>
                <w:szCs w:val="18"/>
                <w:highlight w:val="yellow"/>
              </w:rPr>
              <w:t>Procedure to transfer Integrity results from UE to LMF</w:t>
            </w:r>
            <w:r>
              <w:rPr>
                <w:rFonts w:ascii="Arial" w:hAnsi="Arial" w:cs="Arial"/>
                <w:sz w:val="18"/>
                <w:szCs w:val="18"/>
              </w:rPr>
              <w:t xml:space="preserve"> </w:t>
            </w:r>
          </w:p>
          <w:p w14:paraId="6C846642" w14:textId="77777777" w:rsidR="006952AC" w:rsidRDefault="006952AC">
            <w:pPr>
              <w:rPr>
                <w:rFonts w:ascii="Arial" w:hAnsi="Arial" w:cs="Arial"/>
                <w:sz w:val="18"/>
                <w:szCs w:val="18"/>
              </w:rPr>
            </w:pPr>
          </w:p>
        </w:tc>
      </w:tr>
      <w:tr w:rsidR="006952AC" w14:paraId="66B94EB1" w14:textId="77777777" w:rsidTr="006952AC">
        <w:tc>
          <w:tcPr>
            <w:tcW w:w="959" w:type="pct"/>
            <w:vMerge w:val="restart"/>
            <w:tcBorders>
              <w:top w:val="single" w:sz="4" w:space="0" w:color="auto"/>
              <w:left w:val="single" w:sz="4" w:space="0" w:color="auto"/>
              <w:bottom w:val="single" w:sz="4" w:space="0" w:color="auto"/>
              <w:right w:val="single" w:sz="4" w:space="0" w:color="auto"/>
            </w:tcBorders>
            <w:hideMark/>
          </w:tcPr>
          <w:p w14:paraId="62E3BE76" w14:textId="77777777" w:rsidR="006952AC" w:rsidRDefault="006952AC">
            <w:pPr>
              <w:rPr>
                <w:rFonts w:ascii="Arial" w:hAnsi="Arial" w:cs="Arial"/>
                <w:sz w:val="18"/>
                <w:szCs w:val="18"/>
              </w:rPr>
            </w:pPr>
            <w:r>
              <w:rPr>
                <w:rFonts w:ascii="Arial" w:hAnsi="Arial" w:cs="Arial"/>
                <w:sz w:val="18"/>
                <w:szCs w:val="18"/>
              </w:rPr>
              <w:t>UE assisted (LMF-based): Positioning integrity result is derived by the LMF</w:t>
            </w:r>
          </w:p>
        </w:tc>
        <w:tc>
          <w:tcPr>
            <w:tcW w:w="502" w:type="pct"/>
            <w:tcBorders>
              <w:top w:val="single" w:sz="4" w:space="0" w:color="auto"/>
              <w:left w:val="single" w:sz="4" w:space="0" w:color="auto"/>
              <w:bottom w:val="single" w:sz="4" w:space="0" w:color="auto"/>
              <w:right w:val="single" w:sz="4" w:space="0" w:color="auto"/>
            </w:tcBorders>
            <w:hideMark/>
          </w:tcPr>
          <w:p w14:paraId="560E923A" w14:textId="77777777" w:rsidR="006952AC" w:rsidRDefault="006952AC">
            <w:pPr>
              <w:rPr>
                <w:rFonts w:ascii="Arial" w:hAnsi="Arial" w:cs="Arial"/>
                <w:sz w:val="18"/>
                <w:szCs w:val="18"/>
              </w:rPr>
            </w:pPr>
            <w:r>
              <w:rPr>
                <w:rFonts w:ascii="Arial" w:hAnsi="Arial" w:cs="Arial"/>
                <w:sz w:val="18"/>
                <w:szCs w:val="18"/>
              </w:rPr>
              <w:t>MO-LR</w:t>
            </w:r>
          </w:p>
        </w:tc>
        <w:tc>
          <w:tcPr>
            <w:tcW w:w="772" w:type="pct"/>
            <w:tcBorders>
              <w:top w:val="single" w:sz="4" w:space="0" w:color="auto"/>
              <w:left w:val="single" w:sz="4" w:space="0" w:color="auto"/>
              <w:bottom w:val="single" w:sz="4" w:space="0" w:color="auto"/>
              <w:right w:val="single" w:sz="4" w:space="0" w:color="auto"/>
            </w:tcBorders>
            <w:hideMark/>
          </w:tcPr>
          <w:p w14:paraId="080CA15A" w14:textId="77777777" w:rsidR="006952AC" w:rsidRDefault="006952AC">
            <w:pPr>
              <w:rPr>
                <w:rFonts w:ascii="Arial" w:hAnsi="Arial" w:cs="Arial"/>
                <w:sz w:val="18"/>
                <w:szCs w:val="18"/>
              </w:rPr>
            </w:pPr>
            <w:r>
              <w:rPr>
                <w:rFonts w:ascii="Arial" w:hAnsi="Arial" w:cs="Arial"/>
                <w:sz w:val="18"/>
                <w:szCs w:val="18"/>
              </w:rPr>
              <w:t>From UE</w:t>
            </w:r>
          </w:p>
        </w:tc>
        <w:tc>
          <w:tcPr>
            <w:tcW w:w="746" w:type="pct"/>
            <w:tcBorders>
              <w:top w:val="single" w:sz="4" w:space="0" w:color="auto"/>
              <w:left w:val="single" w:sz="4" w:space="0" w:color="auto"/>
              <w:bottom w:val="single" w:sz="4" w:space="0" w:color="auto"/>
              <w:right w:val="single" w:sz="4" w:space="0" w:color="auto"/>
            </w:tcBorders>
            <w:hideMark/>
          </w:tcPr>
          <w:p w14:paraId="6796AAD9" w14:textId="77777777" w:rsidR="006952AC" w:rsidRDefault="006952AC">
            <w:pPr>
              <w:rPr>
                <w:rFonts w:ascii="Arial" w:hAnsi="Arial" w:cs="Arial"/>
                <w:sz w:val="18"/>
                <w:szCs w:val="18"/>
              </w:rPr>
            </w:pPr>
            <w:r>
              <w:rPr>
                <w:rFonts w:ascii="Arial" w:hAnsi="Arial" w:cs="Arial"/>
                <w:sz w:val="18"/>
                <w:szCs w:val="18"/>
              </w:rPr>
              <w:t>From LMF</w:t>
            </w:r>
          </w:p>
        </w:tc>
        <w:tc>
          <w:tcPr>
            <w:tcW w:w="993" w:type="pct"/>
            <w:tcBorders>
              <w:top w:val="single" w:sz="4" w:space="0" w:color="auto"/>
              <w:left w:val="single" w:sz="4" w:space="0" w:color="auto"/>
              <w:bottom w:val="single" w:sz="4" w:space="0" w:color="auto"/>
              <w:right w:val="single" w:sz="4" w:space="0" w:color="auto"/>
            </w:tcBorders>
            <w:hideMark/>
          </w:tcPr>
          <w:p w14:paraId="1A2526AB" w14:textId="77777777" w:rsidR="006952AC" w:rsidRDefault="006952AC">
            <w:pPr>
              <w:spacing w:after="60"/>
              <w:rPr>
                <w:rFonts w:ascii="Arial" w:hAnsi="Arial" w:cs="Arial"/>
                <w:sz w:val="18"/>
                <w:szCs w:val="18"/>
              </w:rPr>
            </w:pPr>
            <w:r>
              <w:rPr>
                <w:rFonts w:ascii="Arial" w:hAnsi="Arial" w:cs="Arial"/>
                <w:sz w:val="18"/>
                <w:szCs w:val="18"/>
              </w:rPr>
              <w:t xml:space="preserve">From GNSS corrections provider (external source) to LMF: </w:t>
            </w:r>
          </w:p>
          <w:p w14:paraId="1E492DD0" w14:textId="77777777" w:rsidR="006952AC" w:rsidRDefault="006952AC">
            <w:pPr>
              <w:spacing w:after="0"/>
              <w:rPr>
                <w:rFonts w:ascii="Arial" w:hAnsi="Arial" w:cs="Arial"/>
                <w:sz w:val="18"/>
                <w:szCs w:val="18"/>
              </w:rPr>
            </w:pPr>
            <w:r>
              <w:rPr>
                <w:rFonts w:ascii="Arial" w:hAnsi="Arial" w:cs="Arial"/>
                <w:sz w:val="18"/>
                <w:szCs w:val="18"/>
              </w:rPr>
              <w:t>- Feared events in the GNSS Assistance Data</w:t>
            </w:r>
          </w:p>
          <w:p w14:paraId="786F472C" w14:textId="77777777" w:rsidR="006952AC" w:rsidRDefault="006952AC">
            <w:pPr>
              <w:spacing w:after="0"/>
              <w:rPr>
                <w:rFonts w:ascii="Arial" w:hAnsi="Arial" w:cs="Arial"/>
                <w:sz w:val="18"/>
                <w:szCs w:val="18"/>
              </w:rPr>
            </w:pPr>
            <w:r>
              <w:rPr>
                <w:rFonts w:ascii="Arial" w:hAnsi="Arial" w:cs="Arial"/>
                <w:sz w:val="18"/>
                <w:szCs w:val="18"/>
              </w:rPr>
              <w:t>- Feared events in transmitting the data to the UE</w:t>
            </w:r>
          </w:p>
          <w:p w14:paraId="600A4F2E" w14:textId="77777777" w:rsidR="006952AC" w:rsidRDefault="006952AC">
            <w:pPr>
              <w:rPr>
                <w:rFonts w:ascii="Arial" w:hAnsi="Arial" w:cs="Arial"/>
                <w:sz w:val="18"/>
                <w:szCs w:val="18"/>
              </w:rPr>
            </w:pPr>
            <w:r>
              <w:rPr>
                <w:rFonts w:ascii="Arial" w:hAnsi="Arial" w:cs="Arial"/>
                <w:sz w:val="18"/>
                <w:szCs w:val="18"/>
              </w:rPr>
              <w:t>- GNSS feared events</w:t>
            </w:r>
          </w:p>
          <w:p w14:paraId="068C7CA5" w14:textId="77777777" w:rsidR="006952AC" w:rsidRDefault="006952AC">
            <w:pPr>
              <w:spacing w:after="60"/>
              <w:rPr>
                <w:rFonts w:ascii="Arial" w:hAnsi="Arial" w:cs="Arial"/>
                <w:sz w:val="18"/>
                <w:szCs w:val="18"/>
              </w:rPr>
            </w:pPr>
            <w:r>
              <w:rPr>
                <w:rFonts w:ascii="Arial" w:hAnsi="Arial" w:cs="Arial"/>
                <w:sz w:val="18"/>
                <w:szCs w:val="18"/>
              </w:rPr>
              <w:t>From UE to LMF:</w:t>
            </w:r>
          </w:p>
          <w:p w14:paraId="56966CC1" w14:textId="77777777" w:rsidR="006952AC" w:rsidRDefault="006952AC">
            <w:pPr>
              <w:rPr>
                <w:rFonts w:ascii="Arial" w:hAnsi="Arial" w:cs="Arial"/>
                <w:sz w:val="18"/>
                <w:szCs w:val="18"/>
                <w:lang w:val="fr-FR"/>
              </w:rPr>
            </w:pPr>
            <w:r>
              <w:rPr>
                <w:rFonts w:ascii="Arial" w:hAnsi="Arial" w:cs="Arial"/>
                <w:sz w:val="18"/>
                <w:szCs w:val="18"/>
              </w:rPr>
              <w:t>- UE feared events</w:t>
            </w:r>
          </w:p>
        </w:tc>
        <w:tc>
          <w:tcPr>
            <w:tcW w:w="1028" w:type="pct"/>
            <w:tcBorders>
              <w:top w:val="single" w:sz="4" w:space="0" w:color="auto"/>
              <w:left w:val="single" w:sz="4" w:space="0" w:color="auto"/>
              <w:bottom w:val="single" w:sz="4" w:space="0" w:color="auto"/>
              <w:right w:val="single" w:sz="4" w:space="0" w:color="auto"/>
            </w:tcBorders>
          </w:tcPr>
          <w:p w14:paraId="63D70566" w14:textId="77777777" w:rsidR="006952AC" w:rsidRPr="007415A9" w:rsidRDefault="006952AC">
            <w:pPr>
              <w:rPr>
                <w:rFonts w:ascii="Arial" w:hAnsi="Arial" w:cs="Arial"/>
                <w:sz w:val="18"/>
                <w:szCs w:val="18"/>
              </w:rPr>
            </w:pPr>
            <w:r w:rsidRPr="007415A9">
              <w:rPr>
                <w:rFonts w:ascii="Arial" w:hAnsi="Arial" w:cs="Arial"/>
                <w:sz w:val="18"/>
                <w:szCs w:val="18"/>
              </w:rPr>
              <w:t>Procedure to transfer Integrity assistance information and KPIs from UE to LMF</w:t>
            </w:r>
          </w:p>
          <w:p w14:paraId="4AF6F95D" w14:textId="77777777" w:rsidR="006952AC" w:rsidRDefault="006952AC">
            <w:pPr>
              <w:rPr>
                <w:rFonts w:ascii="Arial" w:hAnsi="Arial" w:cs="Arial"/>
                <w:sz w:val="18"/>
                <w:szCs w:val="18"/>
              </w:rPr>
            </w:pPr>
            <w:r w:rsidRPr="007415A9">
              <w:rPr>
                <w:rFonts w:ascii="Arial" w:hAnsi="Arial" w:cs="Arial"/>
                <w:sz w:val="18"/>
                <w:szCs w:val="18"/>
                <w:highlight w:val="green"/>
              </w:rPr>
              <w:t>Procedure to transfer Integrity results from LMF to UE</w:t>
            </w:r>
            <w:r>
              <w:rPr>
                <w:rFonts w:ascii="Arial" w:hAnsi="Arial" w:cs="Arial"/>
                <w:sz w:val="18"/>
                <w:szCs w:val="18"/>
              </w:rPr>
              <w:t xml:space="preserve"> </w:t>
            </w:r>
          </w:p>
          <w:p w14:paraId="7FC9406B" w14:textId="77777777" w:rsidR="006952AC" w:rsidRDefault="006952AC">
            <w:pPr>
              <w:rPr>
                <w:rFonts w:ascii="Arial" w:hAnsi="Arial" w:cs="Arial"/>
                <w:sz w:val="18"/>
                <w:szCs w:val="18"/>
              </w:rPr>
            </w:pPr>
          </w:p>
        </w:tc>
      </w:tr>
      <w:tr w:rsidR="006952AC" w14:paraId="6ADCF597" w14:textId="77777777" w:rsidTr="006952AC">
        <w:tc>
          <w:tcPr>
            <w:tcW w:w="0" w:type="auto"/>
            <w:vMerge/>
            <w:tcBorders>
              <w:top w:val="single" w:sz="4" w:space="0" w:color="auto"/>
              <w:left w:val="single" w:sz="4" w:space="0" w:color="auto"/>
              <w:bottom w:val="single" w:sz="4" w:space="0" w:color="auto"/>
              <w:right w:val="single" w:sz="4" w:space="0" w:color="auto"/>
            </w:tcBorders>
            <w:vAlign w:val="center"/>
            <w:hideMark/>
          </w:tcPr>
          <w:p w14:paraId="6E0CC606" w14:textId="77777777" w:rsidR="006952AC" w:rsidRDefault="006952AC">
            <w:pPr>
              <w:spacing w:after="0"/>
              <w:rPr>
                <w:rFonts w:ascii="Arial" w:hAnsi="Arial" w:cs="Arial"/>
                <w:sz w:val="18"/>
                <w:szCs w:val="18"/>
              </w:rPr>
            </w:pPr>
          </w:p>
        </w:tc>
        <w:tc>
          <w:tcPr>
            <w:tcW w:w="502" w:type="pct"/>
            <w:tcBorders>
              <w:top w:val="single" w:sz="4" w:space="0" w:color="auto"/>
              <w:left w:val="single" w:sz="4" w:space="0" w:color="auto"/>
              <w:bottom w:val="single" w:sz="4" w:space="0" w:color="auto"/>
              <w:right w:val="single" w:sz="4" w:space="0" w:color="auto"/>
            </w:tcBorders>
            <w:hideMark/>
          </w:tcPr>
          <w:p w14:paraId="7B15B954" w14:textId="77777777" w:rsidR="006952AC" w:rsidRDefault="006952AC">
            <w:pPr>
              <w:rPr>
                <w:rFonts w:ascii="Arial" w:hAnsi="Arial" w:cs="Arial"/>
                <w:sz w:val="18"/>
                <w:szCs w:val="18"/>
              </w:rPr>
            </w:pPr>
            <w:r>
              <w:rPr>
                <w:rFonts w:ascii="Arial" w:hAnsi="Arial" w:cs="Arial"/>
                <w:sz w:val="18"/>
                <w:szCs w:val="18"/>
              </w:rPr>
              <w:t>MT-LR</w:t>
            </w:r>
          </w:p>
        </w:tc>
        <w:tc>
          <w:tcPr>
            <w:tcW w:w="772" w:type="pct"/>
            <w:tcBorders>
              <w:top w:val="single" w:sz="4" w:space="0" w:color="auto"/>
              <w:left w:val="single" w:sz="4" w:space="0" w:color="auto"/>
              <w:bottom w:val="single" w:sz="4" w:space="0" w:color="auto"/>
              <w:right w:val="single" w:sz="4" w:space="0" w:color="auto"/>
            </w:tcBorders>
          </w:tcPr>
          <w:p w14:paraId="0B73D41D" w14:textId="77777777" w:rsidR="006952AC" w:rsidRDefault="006952AC">
            <w:pPr>
              <w:rPr>
                <w:rFonts w:ascii="Arial" w:hAnsi="Arial" w:cs="Arial"/>
                <w:sz w:val="18"/>
                <w:szCs w:val="18"/>
              </w:rPr>
            </w:pPr>
            <w:r>
              <w:rPr>
                <w:rFonts w:ascii="Arial" w:hAnsi="Arial" w:cs="Arial"/>
                <w:sz w:val="18"/>
                <w:szCs w:val="18"/>
              </w:rPr>
              <w:t>LMF implementation</w:t>
            </w:r>
          </w:p>
          <w:p w14:paraId="759D151A" w14:textId="77777777" w:rsidR="006952AC" w:rsidRDefault="006952AC">
            <w:pPr>
              <w:rPr>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263F8BF8" w14:textId="77777777" w:rsidR="006952AC" w:rsidRDefault="006952AC">
            <w:pPr>
              <w:rPr>
                <w:rFonts w:ascii="Arial" w:hAnsi="Arial" w:cs="Arial"/>
                <w:sz w:val="18"/>
                <w:szCs w:val="18"/>
              </w:rPr>
            </w:pPr>
            <w:r>
              <w:rPr>
                <w:rFonts w:ascii="Arial" w:hAnsi="Arial" w:cs="Arial"/>
                <w:sz w:val="18"/>
                <w:szCs w:val="18"/>
              </w:rPr>
              <w:t>LMF internal implementation</w:t>
            </w:r>
          </w:p>
        </w:tc>
        <w:tc>
          <w:tcPr>
            <w:tcW w:w="993" w:type="pct"/>
            <w:tcBorders>
              <w:top w:val="single" w:sz="4" w:space="0" w:color="auto"/>
              <w:left w:val="single" w:sz="4" w:space="0" w:color="auto"/>
              <w:bottom w:val="single" w:sz="4" w:space="0" w:color="auto"/>
              <w:right w:val="single" w:sz="4" w:space="0" w:color="auto"/>
            </w:tcBorders>
            <w:hideMark/>
          </w:tcPr>
          <w:p w14:paraId="6EE976F1" w14:textId="77777777" w:rsidR="006952AC" w:rsidRDefault="006952AC">
            <w:pPr>
              <w:spacing w:after="60"/>
              <w:rPr>
                <w:rFonts w:ascii="Arial" w:hAnsi="Arial" w:cs="Arial"/>
                <w:sz w:val="18"/>
                <w:szCs w:val="18"/>
              </w:rPr>
            </w:pPr>
            <w:r>
              <w:rPr>
                <w:rFonts w:ascii="Arial" w:hAnsi="Arial" w:cs="Arial"/>
                <w:sz w:val="18"/>
                <w:szCs w:val="18"/>
              </w:rPr>
              <w:t xml:space="preserve">From GNSS corrections provider (external source) to LMF: </w:t>
            </w:r>
          </w:p>
          <w:p w14:paraId="0D84F131" w14:textId="77777777" w:rsidR="006952AC" w:rsidRDefault="006952AC">
            <w:pPr>
              <w:spacing w:after="0"/>
              <w:rPr>
                <w:rFonts w:ascii="Arial" w:hAnsi="Arial" w:cs="Arial"/>
                <w:sz w:val="18"/>
                <w:szCs w:val="18"/>
              </w:rPr>
            </w:pPr>
            <w:r>
              <w:rPr>
                <w:rFonts w:ascii="Arial" w:hAnsi="Arial" w:cs="Arial"/>
                <w:sz w:val="18"/>
                <w:szCs w:val="18"/>
              </w:rPr>
              <w:t>- Feared events in the GNSS Assistance Data</w:t>
            </w:r>
          </w:p>
          <w:p w14:paraId="40259F2C" w14:textId="77777777" w:rsidR="006952AC" w:rsidRDefault="006952AC">
            <w:pPr>
              <w:spacing w:after="0"/>
              <w:rPr>
                <w:rFonts w:ascii="Arial" w:hAnsi="Arial" w:cs="Arial"/>
                <w:sz w:val="18"/>
                <w:szCs w:val="18"/>
              </w:rPr>
            </w:pPr>
            <w:r>
              <w:rPr>
                <w:rFonts w:ascii="Arial" w:hAnsi="Arial" w:cs="Arial"/>
                <w:sz w:val="18"/>
                <w:szCs w:val="18"/>
              </w:rPr>
              <w:t>- Feared events in transmitting the data to the UE</w:t>
            </w:r>
          </w:p>
          <w:p w14:paraId="7E582190" w14:textId="77777777" w:rsidR="006952AC" w:rsidRDefault="006952AC">
            <w:pPr>
              <w:rPr>
                <w:rFonts w:ascii="Arial" w:hAnsi="Arial" w:cs="Arial"/>
                <w:sz w:val="18"/>
                <w:szCs w:val="18"/>
              </w:rPr>
            </w:pPr>
            <w:r>
              <w:rPr>
                <w:rFonts w:ascii="Arial" w:hAnsi="Arial" w:cs="Arial"/>
                <w:sz w:val="18"/>
                <w:szCs w:val="18"/>
              </w:rPr>
              <w:t>- GNSS feared events</w:t>
            </w:r>
          </w:p>
          <w:p w14:paraId="160C9590" w14:textId="77777777" w:rsidR="006952AC" w:rsidRDefault="006952AC">
            <w:pPr>
              <w:spacing w:after="60"/>
              <w:rPr>
                <w:rFonts w:ascii="Arial" w:hAnsi="Arial" w:cs="Arial"/>
                <w:sz w:val="18"/>
                <w:szCs w:val="18"/>
              </w:rPr>
            </w:pPr>
            <w:r>
              <w:rPr>
                <w:rFonts w:ascii="Arial" w:hAnsi="Arial" w:cs="Arial"/>
                <w:sz w:val="18"/>
                <w:szCs w:val="18"/>
              </w:rPr>
              <w:t>From UE to LMF:</w:t>
            </w:r>
          </w:p>
          <w:p w14:paraId="7BD27FB7" w14:textId="77777777" w:rsidR="006952AC" w:rsidRDefault="006952AC">
            <w:pPr>
              <w:rPr>
                <w:rFonts w:ascii="Arial" w:hAnsi="Arial" w:cs="Arial"/>
                <w:sz w:val="18"/>
                <w:szCs w:val="18"/>
              </w:rPr>
            </w:pPr>
            <w:r>
              <w:rPr>
                <w:rFonts w:ascii="Arial" w:hAnsi="Arial" w:cs="Arial"/>
                <w:sz w:val="18"/>
                <w:szCs w:val="18"/>
              </w:rPr>
              <w:t>- UE feared events</w:t>
            </w:r>
          </w:p>
        </w:tc>
        <w:tc>
          <w:tcPr>
            <w:tcW w:w="1028" w:type="pct"/>
            <w:tcBorders>
              <w:top w:val="single" w:sz="4" w:space="0" w:color="auto"/>
              <w:left w:val="single" w:sz="4" w:space="0" w:color="auto"/>
              <w:bottom w:val="single" w:sz="4" w:space="0" w:color="auto"/>
              <w:right w:val="single" w:sz="4" w:space="0" w:color="auto"/>
            </w:tcBorders>
          </w:tcPr>
          <w:p w14:paraId="557A777B" w14:textId="77777777" w:rsidR="006952AC" w:rsidRDefault="006952AC">
            <w:pPr>
              <w:rPr>
                <w:rFonts w:ascii="Arial" w:eastAsiaTheme="minorEastAsia" w:hAnsi="Arial" w:cs="Arial"/>
                <w:sz w:val="18"/>
                <w:szCs w:val="18"/>
                <w:lang w:eastAsia="zh-CN"/>
              </w:rPr>
            </w:pPr>
            <w:r>
              <w:rPr>
                <w:rFonts w:ascii="Arial" w:hAnsi="Arial" w:cs="Arial"/>
                <w:sz w:val="18"/>
                <w:szCs w:val="18"/>
              </w:rPr>
              <w:t>Procedure to transfer Integrity assistance information from UE to LMF</w:t>
            </w:r>
            <w:r>
              <w:rPr>
                <w:rFonts w:ascii="Arial" w:eastAsiaTheme="minorEastAsia" w:hAnsi="Arial" w:cs="Arial"/>
                <w:sz w:val="18"/>
                <w:szCs w:val="18"/>
                <w:lang w:eastAsia="zh-CN"/>
              </w:rPr>
              <w:t xml:space="preserve"> </w:t>
            </w:r>
          </w:p>
          <w:p w14:paraId="56468804" w14:textId="77777777" w:rsidR="006952AC" w:rsidRDefault="006952AC">
            <w:pPr>
              <w:rPr>
                <w:rFonts w:ascii="Arial" w:eastAsia="Malgun Gothic" w:hAnsi="Arial" w:cs="Arial"/>
                <w:sz w:val="18"/>
                <w:szCs w:val="18"/>
              </w:rPr>
            </w:pPr>
          </w:p>
        </w:tc>
      </w:tr>
    </w:tbl>
    <w:p w14:paraId="0F7E141B" w14:textId="307EC9C9" w:rsidR="006952AC" w:rsidRDefault="006952AC" w:rsidP="00FD1EED">
      <w:pPr>
        <w:jc w:val="both"/>
      </w:pPr>
    </w:p>
    <w:p w14:paraId="0B0FF818" w14:textId="6BC45029" w:rsidR="006952AC" w:rsidRDefault="007415A9" w:rsidP="00FD1EED">
      <w:pPr>
        <w:jc w:val="both"/>
      </w:pPr>
      <w:r>
        <w:t>Clearly, the integrity result could be reported from either UE or LMF, depend</w:t>
      </w:r>
      <w:r w:rsidR="184DB58C">
        <w:t>ing on</w:t>
      </w:r>
      <w:r>
        <w:t xml:space="preserve"> where the LCS client resides (MO-LR or MT-LR) and where the integrity result is derived (LMF-assisted or UE-assisted). This paper aims to briefly discuss the options of integrity result reporting. </w:t>
      </w:r>
    </w:p>
    <w:p w14:paraId="30F1B9C2" w14:textId="17AD253A" w:rsidR="005F16B4" w:rsidRPr="006E13D1" w:rsidRDefault="005F16B4" w:rsidP="005F16B4">
      <w:pPr>
        <w:pStyle w:val="Heading1"/>
      </w:pPr>
      <w:r>
        <w:t>2</w:t>
      </w:r>
      <w:r w:rsidRPr="006E13D1">
        <w:tab/>
      </w:r>
      <w:r>
        <w:t>Discussions</w:t>
      </w:r>
    </w:p>
    <w:p w14:paraId="4D34649E" w14:textId="700EDC12" w:rsidR="00C46A3A" w:rsidRDefault="007415A9" w:rsidP="00FB799D">
      <w:r>
        <w:t>From our perspective, there are two</w:t>
      </w:r>
      <w:r w:rsidR="00E15F45">
        <w:t xml:space="preserve"> modes </w:t>
      </w:r>
      <w:r>
        <w:t>of integrity result reporting:</w:t>
      </w:r>
    </w:p>
    <w:p w14:paraId="106C192B" w14:textId="3D438AC7" w:rsidR="007415A9" w:rsidRDefault="492E68E6" w:rsidP="007415A9">
      <w:pPr>
        <w:pStyle w:val="ListParagraph"/>
        <w:numPr>
          <w:ilvl w:val="0"/>
          <w:numId w:val="12"/>
        </w:numPr>
        <w:jc w:val="both"/>
        <w:rPr>
          <w:b/>
          <w:bCs/>
        </w:rPr>
      </w:pPr>
      <w:r w:rsidRPr="52B577B3">
        <w:rPr>
          <w:b/>
          <w:bCs/>
        </w:rPr>
        <w:t xml:space="preserve">Mode 1 of </w:t>
      </w:r>
      <w:r w:rsidR="007D7D2E" w:rsidRPr="52B577B3">
        <w:rPr>
          <w:b/>
          <w:bCs/>
        </w:rPr>
        <w:t xml:space="preserve">Integrity Result </w:t>
      </w:r>
      <w:proofErr w:type="gramStart"/>
      <w:r w:rsidR="007D7D2E" w:rsidRPr="52B577B3">
        <w:rPr>
          <w:b/>
          <w:bCs/>
        </w:rPr>
        <w:t xml:space="preserve">Reporting </w:t>
      </w:r>
      <w:r w:rsidR="007415A9" w:rsidRPr="52B577B3">
        <w:rPr>
          <w:b/>
          <w:bCs/>
        </w:rPr>
        <w:t>:</w:t>
      </w:r>
      <w:proofErr w:type="gramEnd"/>
      <w:r w:rsidR="007415A9" w:rsidRPr="52B577B3">
        <w:rPr>
          <w:b/>
          <w:bCs/>
        </w:rPr>
        <w:t xml:space="preserve"> </w:t>
      </w:r>
      <w:r w:rsidR="007415A9" w:rsidRPr="001C716B">
        <w:rPr>
          <w:b/>
          <w:bCs/>
          <w:u w:val="single"/>
        </w:rPr>
        <w:t>PL Reporting</w:t>
      </w:r>
    </w:p>
    <w:p w14:paraId="1E0E4364" w14:textId="52D2EF80" w:rsidR="007415A9" w:rsidRDefault="007415A9" w:rsidP="007415A9">
      <w:pPr>
        <w:pStyle w:val="ListParagraph"/>
        <w:jc w:val="both"/>
      </w:pPr>
      <w:r>
        <w:t xml:space="preserve">The integrity computing entity calculates the PL, based on the </w:t>
      </w:r>
      <w:r w:rsidR="00E15F45">
        <w:t>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243C12B8" w14:textId="77777777" w:rsidR="007415A9" w:rsidRPr="00AF1539" w:rsidRDefault="007415A9" w:rsidP="007415A9">
      <w:pPr>
        <w:pStyle w:val="ListParagraph"/>
        <w:jc w:val="both"/>
      </w:pPr>
    </w:p>
    <w:p w14:paraId="2FA6E9F2" w14:textId="3A32235C" w:rsidR="007415A9" w:rsidRDefault="6103058C" w:rsidP="007415A9">
      <w:pPr>
        <w:pStyle w:val="ListParagraph"/>
        <w:numPr>
          <w:ilvl w:val="0"/>
          <w:numId w:val="12"/>
        </w:numPr>
        <w:jc w:val="both"/>
        <w:rPr>
          <w:b/>
          <w:bCs/>
        </w:rPr>
      </w:pPr>
      <w:r w:rsidRPr="52B577B3">
        <w:rPr>
          <w:b/>
          <w:bCs/>
        </w:rPr>
        <w:t xml:space="preserve">Mode 2 of </w:t>
      </w:r>
      <w:r w:rsidR="007D7D2E" w:rsidRPr="52B577B3">
        <w:rPr>
          <w:b/>
          <w:bCs/>
        </w:rPr>
        <w:t xml:space="preserve">Integrity Result </w:t>
      </w:r>
      <w:proofErr w:type="gramStart"/>
      <w:r w:rsidR="007D7D2E" w:rsidRPr="52B577B3">
        <w:rPr>
          <w:b/>
          <w:bCs/>
        </w:rPr>
        <w:t xml:space="preserve">Reporting </w:t>
      </w:r>
      <w:r w:rsidR="007415A9" w:rsidRPr="52B577B3">
        <w:rPr>
          <w:b/>
          <w:bCs/>
        </w:rPr>
        <w:t>:</w:t>
      </w:r>
      <w:proofErr w:type="gramEnd"/>
      <w:r w:rsidR="007415A9" w:rsidRPr="52B577B3">
        <w:rPr>
          <w:b/>
          <w:bCs/>
        </w:rPr>
        <w:t xml:space="preserve"> </w:t>
      </w:r>
      <w:r w:rsidR="007415A9" w:rsidRPr="001C716B">
        <w:rPr>
          <w:b/>
          <w:bCs/>
          <w:u w:val="single"/>
        </w:rPr>
        <w:t>Integrity Event Flagging</w:t>
      </w:r>
    </w:p>
    <w:p w14:paraId="671F35FA" w14:textId="22FF239D" w:rsidR="00E15F45" w:rsidRDefault="00E15F45" w:rsidP="00E15F45">
      <w:pPr>
        <w:pStyle w:val="ListParagraph"/>
        <w:jc w:val="both"/>
      </w:pPr>
      <w:r>
        <w:t xml:space="preserve">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w:t>
      </w:r>
      <w:r w:rsidR="00D5137B">
        <w:t xml:space="preserve">may </w:t>
      </w:r>
      <w:r>
        <w:t>only</w:t>
      </w:r>
      <w:r w:rsidR="00D5137B">
        <w:t xml:space="preserve"> have</w:t>
      </w:r>
      <w:r>
        <w:t xml:space="preserve"> to report a binary flag (0 and 1) to indicate whether the positioning system is available or not.  </w:t>
      </w:r>
      <w:r w:rsidR="00D5137B">
        <w:lastRenderedPageBreak/>
        <w:t>Thus, in this case t</w:t>
      </w:r>
      <w:r>
        <w:t>he LCS client can be directly informed about the system availability, without conducting further evaluation by itself.</w:t>
      </w:r>
    </w:p>
    <w:p w14:paraId="7A7FCC00" w14:textId="34742511" w:rsidR="00E15F45" w:rsidRDefault="007D7D2E" w:rsidP="00E15F45">
      <w:pPr>
        <w:jc w:val="both"/>
      </w:pPr>
      <w:r>
        <w:t xml:space="preserve">It is worth noting that, in Mode 1 the LCS client does not have to provide the KPI of AL in the first place, only TIR is needed for the integrity computing entity </w:t>
      </w:r>
      <w:r w:rsidR="40CEF58B">
        <w:t>to</w:t>
      </w:r>
      <w:r>
        <w:t xml:space="preserve"> obtain PL. In Mode 2, on the other hand, both AL and other KPIs are needed for the integrity computing entity to determine if the positioning system is available and hence raise the flag. Thus, Mode 2 requires more overhead on assistance information of KPIs. However, in term</w:t>
      </w:r>
      <w:r w:rsidR="5EFF73D9">
        <w:t>s</w:t>
      </w:r>
      <w:r>
        <w:t xml:space="preserve"> of reporting overhead, Mode 2 </w:t>
      </w:r>
      <w:r w:rsidR="00D5137B">
        <w:t>may be more efficient</w:t>
      </w:r>
      <w:r>
        <w:t>.</w:t>
      </w:r>
    </w:p>
    <w:p w14:paraId="292339D4" w14:textId="7A7BCC67" w:rsidR="007D7D2E" w:rsidRDefault="007D7D2E" w:rsidP="00E15F45">
      <w:pPr>
        <w:jc w:val="both"/>
      </w:pPr>
      <w:r>
        <w:t>A quick comparison of these two modes are summarized in Table 1:</w:t>
      </w:r>
    </w:p>
    <w:p w14:paraId="3AF0990B" w14:textId="48A11560" w:rsidR="007D7D2E" w:rsidRDefault="007D7D2E" w:rsidP="007D7D2E">
      <w:pPr>
        <w:pStyle w:val="Caption"/>
        <w:keepNext/>
        <w:jc w:val="center"/>
      </w:pPr>
      <w:r>
        <w:t xml:space="preserve">Table </w:t>
      </w:r>
      <w:r>
        <w:fldChar w:fldCharType="begin"/>
      </w:r>
      <w:r>
        <w:instrText>SEQ Table \* ARABIC</w:instrText>
      </w:r>
      <w:r>
        <w:fldChar w:fldCharType="separate"/>
      </w:r>
      <w:r>
        <w:rPr>
          <w:noProof/>
        </w:rPr>
        <w:t>1</w:t>
      </w:r>
      <w:r>
        <w:fldChar w:fldCharType="end"/>
      </w:r>
      <w:r>
        <w:t xml:space="preserve"> Summary of Integrity Result Reporting Modes</w:t>
      </w:r>
    </w:p>
    <w:tbl>
      <w:tblPr>
        <w:tblStyle w:val="TableGrid"/>
        <w:tblW w:w="0" w:type="auto"/>
        <w:tblLook w:val="04A0" w:firstRow="1" w:lastRow="0" w:firstColumn="1" w:lastColumn="0" w:noHBand="0" w:noVBand="1"/>
      </w:tblPr>
      <w:tblGrid>
        <w:gridCol w:w="1838"/>
        <w:gridCol w:w="3402"/>
        <w:gridCol w:w="4391"/>
      </w:tblGrid>
      <w:tr w:rsidR="007D7D2E" w14:paraId="54352CDB" w14:textId="77777777" w:rsidTr="007D7D2E">
        <w:tc>
          <w:tcPr>
            <w:tcW w:w="1838" w:type="dxa"/>
          </w:tcPr>
          <w:p w14:paraId="3CC1CB09" w14:textId="27B1AB4B" w:rsidR="007D7D2E" w:rsidRDefault="007D7D2E" w:rsidP="007D7D2E">
            <w:r>
              <w:rPr>
                <w:b/>
                <w:bCs/>
              </w:rPr>
              <w:t>Integrity Result Reporting Mode</w:t>
            </w:r>
          </w:p>
        </w:tc>
        <w:tc>
          <w:tcPr>
            <w:tcW w:w="3402" w:type="dxa"/>
          </w:tcPr>
          <w:p w14:paraId="7196F388" w14:textId="27B35D37" w:rsidR="007D7D2E" w:rsidRPr="007D7D2E" w:rsidRDefault="007D7D2E" w:rsidP="007D7D2E">
            <w:pPr>
              <w:rPr>
                <w:b/>
                <w:bCs/>
              </w:rPr>
            </w:pPr>
            <w:r w:rsidRPr="007D7D2E">
              <w:rPr>
                <w:b/>
                <w:bCs/>
              </w:rPr>
              <w:t>Integrity result to be reported by the integrity computing entity</w:t>
            </w:r>
          </w:p>
        </w:tc>
        <w:tc>
          <w:tcPr>
            <w:tcW w:w="4391" w:type="dxa"/>
          </w:tcPr>
          <w:p w14:paraId="47098B63" w14:textId="71A14F9C" w:rsidR="007D7D2E" w:rsidRPr="007D7D2E" w:rsidRDefault="007D7D2E" w:rsidP="007D7D2E">
            <w:pPr>
              <w:rPr>
                <w:b/>
                <w:bCs/>
              </w:rPr>
            </w:pPr>
            <w:r w:rsidRPr="007D7D2E">
              <w:rPr>
                <w:b/>
                <w:bCs/>
              </w:rPr>
              <w:t>Required assistance information of KPI</w:t>
            </w:r>
          </w:p>
        </w:tc>
      </w:tr>
      <w:tr w:rsidR="007D7D2E" w14:paraId="29FE876F" w14:textId="77777777" w:rsidTr="007D7D2E">
        <w:tc>
          <w:tcPr>
            <w:tcW w:w="1838" w:type="dxa"/>
          </w:tcPr>
          <w:p w14:paraId="1706A9E0" w14:textId="66053063" w:rsidR="007D7D2E" w:rsidRDefault="007D7D2E" w:rsidP="007D7D2E">
            <w:r>
              <w:t>1</w:t>
            </w:r>
          </w:p>
        </w:tc>
        <w:tc>
          <w:tcPr>
            <w:tcW w:w="3402" w:type="dxa"/>
          </w:tcPr>
          <w:p w14:paraId="75AFA175" w14:textId="1EA4DE6E" w:rsidR="007D7D2E" w:rsidRDefault="007D7D2E" w:rsidP="007D7D2E">
            <w:r>
              <w:t>PL</w:t>
            </w:r>
          </w:p>
        </w:tc>
        <w:tc>
          <w:tcPr>
            <w:tcW w:w="4391" w:type="dxa"/>
          </w:tcPr>
          <w:p w14:paraId="6DD1F059" w14:textId="4DFEB219" w:rsidR="007D7D2E" w:rsidRDefault="007D7D2E" w:rsidP="007D7D2E">
            <w:r>
              <w:t>TIR</w:t>
            </w:r>
          </w:p>
        </w:tc>
      </w:tr>
      <w:tr w:rsidR="007D7D2E" w14:paraId="11B7AC41" w14:textId="77777777" w:rsidTr="007D7D2E">
        <w:tc>
          <w:tcPr>
            <w:tcW w:w="1838" w:type="dxa"/>
          </w:tcPr>
          <w:p w14:paraId="249E85F7" w14:textId="701E457D" w:rsidR="007D7D2E" w:rsidRDefault="007D7D2E" w:rsidP="007D7D2E">
            <w:r>
              <w:t>2</w:t>
            </w:r>
          </w:p>
        </w:tc>
        <w:tc>
          <w:tcPr>
            <w:tcW w:w="3402" w:type="dxa"/>
          </w:tcPr>
          <w:p w14:paraId="708629FF" w14:textId="66BED00B" w:rsidR="007D7D2E" w:rsidRDefault="007D7D2E" w:rsidP="007D7D2E">
            <w:r>
              <w:t xml:space="preserve">Integrity </w:t>
            </w:r>
            <w:r w:rsidR="00A56299">
              <w:t xml:space="preserve">event </w:t>
            </w:r>
            <w:r>
              <w:t>flagging</w:t>
            </w:r>
          </w:p>
        </w:tc>
        <w:tc>
          <w:tcPr>
            <w:tcW w:w="4391" w:type="dxa"/>
          </w:tcPr>
          <w:p w14:paraId="66061099" w14:textId="01FB222B" w:rsidR="007D7D2E" w:rsidRDefault="007D7D2E" w:rsidP="007D7D2E">
            <w:r>
              <w:t>TIR and AL</w:t>
            </w:r>
          </w:p>
        </w:tc>
      </w:tr>
    </w:tbl>
    <w:p w14:paraId="5598A7C3" w14:textId="66BDF072" w:rsidR="007415A9" w:rsidRDefault="007415A9" w:rsidP="007D7D2E"/>
    <w:p w14:paraId="1FBE26D3" w14:textId="25756BD3" w:rsidR="007D7D2E" w:rsidRDefault="007D7D2E" w:rsidP="00A56299">
      <w:pPr>
        <w:jc w:val="both"/>
      </w:pPr>
      <w:r>
        <w:t xml:space="preserve">Which mode should be supported by 3GPP requires </w:t>
      </w:r>
      <w:r w:rsidR="00A56299">
        <w:t>more</w:t>
      </w:r>
      <w:r>
        <w:t xml:space="preserve"> </w:t>
      </w:r>
      <w:proofErr w:type="gramStart"/>
      <w:r>
        <w:t>investigation</w:t>
      </w:r>
      <w:r w:rsidR="1A344F26">
        <w:t>.</w:t>
      </w:r>
      <w:proofErr w:type="gramEnd"/>
      <w:r>
        <w:t xml:space="preserve"> </w:t>
      </w:r>
      <w:r w:rsidR="244EEFB4">
        <w:t xml:space="preserve">We support that </w:t>
      </w:r>
      <w:r>
        <w:t>in the SI</w:t>
      </w:r>
      <w:r w:rsidR="61B22518">
        <w:t xml:space="preserve"> phase</w:t>
      </w:r>
      <w:r>
        <w:t xml:space="preserve"> </w:t>
      </w:r>
      <w:r w:rsidR="00A56299">
        <w:t xml:space="preserve">characteristics of </w:t>
      </w:r>
      <w:r>
        <w:t xml:space="preserve">both options </w:t>
      </w:r>
      <w:r w:rsidR="00A56299">
        <w:t xml:space="preserve">(as summarized in Table 1) </w:t>
      </w:r>
      <w:r>
        <w:t xml:space="preserve">should be captured in the TR, which </w:t>
      </w:r>
      <w:r w:rsidR="00A56299">
        <w:t>serves as a guideline for RAN2 to further decide what can be adopted in the WI phase.</w:t>
      </w:r>
    </w:p>
    <w:p w14:paraId="73881821" w14:textId="4D863093" w:rsidR="00A56299" w:rsidRPr="00A56299" w:rsidRDefault="00A56299" w:rsidP="00A56299">
      <w:pPr>
        <w:jc w:val="both"/>
        <w:rPr>
          <w:b/>
          <w:bCs/>
        </w:rPr>
      </w:pPr>
      <w:r w:rsidRPr="00A56299">
        <w:rPr>
          <w:b/>
          <w:bCs/>
        </w:rPr>
        <w:t xml:space="preserve">Proposal: </w:t>
      </w:r>
      <w:r w:rsidR="00D5137B">
        <w:rPr>
          <w:b/>
          <w:bCs/>
        </w:rPr>
        <w:t>Two</w:t>
      </w:r>
      <w:r>
        <w:rPr>
          <w:b/>
          <w:bCs/>
        </w:rPr>
        <w:t xml:space="preserve"> possible integrity result reporting modes (PL Reporting and Integrity Event Flagging) </w:t>
      </w:r>
      <w:r w:rsidR="00310021">
        <w:rPr>
          <w:b/>
          <w:bCs/>
        </w:rPr>
        <w:t xml:space="preserve">could </w:t>
      </w:r>
      <w:r>
        <w:rPr>
          <w:b/>
          <w:bCs/>
        </w:rPr>
        <w:t>be captured in the TR</w:t>
      </w:r>
      <w:r w:rsidR="00D5137B">
        <w:rPr>
          <w:b/>
          <w:bCs/>
        </w:rPr>
        <w:t xml:space="preserve"> with some </w:t>
      </w:r>
      <w:proofErr w:type="gramStart"/>
      <w:r w:rsidR="00D5137B">
        <w:rPr>
          <w:b/>
          <w:bCs/>
        </w:rPr>
        <w:t>descriptions</w:t>
      </w:r>
      <w:r w:rsidR="00310021">
        <w:rPr>
          <w:b/>
          <w:bCs/>
        </w:rPr>
        <w:t xml:space="preserve"> </w:t>
      </w:r>
      <w:r>
        <w:rPr>
          <w:b/>
          <w:bCs/>
        </w:rPr>
        <w:t>.</w:t>
      </w:r>
      <w:proofErr w:type="gramEnd"/>
    </w:p>
    <w:p w14:paraId="79E58353" w14:textId="01854E05" w:rsidR="005F16B4" w:rsidRPr="006E13D1" w:rsidRDefault="005F16B4" w:rsidP="005F16B4">
      <w:pPr>
        <w:pStyle w:val="Heading1"/>
      </w:pPr>
      <w:r>
        <w:t>3</w:t>
      </w:r>
      <w:r w:rsidRPr="006E13D1">
        <w:tab/>
      </w:r>
      <w:r>
        <w:t>Conclusion</w:t>
      </w:r>
      <w:bookmarkStart w:id="0" w:name="_GoBack"/>
      <w:bookmarkEnd w:id="0"/>
    </w:p>
    <w:p w14:paraId="39194FEF" w14:textId="0A7D8395" w:rsidR="00CC30CE" w:rsidRDefault="00CC30CE" w:rsidP="00A56299">
      <w:pPr>
        <w:jc w:val="both"/>
        <w:rPr>
          <w:b/>
          <w:bCs/>
        </w:rPr>
      </w:pPr>
      <w:r>
        <w:t xml:space="preserve">In this paper, we have </w:t>
      </w:r>
      <w:r w:rsidR="00A56299">
        <w:t xml:space="preserve">briefly analysed two possible integrity result reporting modes. Both options are </w:t>
      </w:r>
      <w:proofErr w:type="gramStart"/>
      <w:r w:rsidR="00A56299">
        <w:t>possible</w:t>
      </w:r>
      <w:proofErr w:type="gramEnd"/>
      <w:r w:rsidR="00A56299">
        <w:t xml:space="preserve"> and we think they can be further examined in the future. To have a better foundation in the WI phase, we propose the following:</w:t>
      </w:r>
    </w:p>
    <w:p w14:paraId="0080C95A" w14:textId="30024986" w:rsidR="00D5137B" w:rsidRPr="00A56299" w:rsidRDefault="00D5137B" w:rsidP="00D5137B">
      <w:pPr>
        <w:jc w:val="both"/>
        <w:rPr>
          <w:b/>
          <w:bCs/>
        </w:rPr>
      </w:pPr>
      <w:r w:rsidRPr="00A56299">
        <w:rPr>
          <w:b/>
          <w:bCs/>
        </w:rPr>
        <w:t xml:space="preserve">Proposal: </w:t>
      </w:r>
      <w:r>
        <w:rPr>
          <w:b/>
          <w:bCs/>
        </w:rPr>
        <w:t xml:space="preserve">Two possible integrity result reporting modes (PL Reporting and Integrity Event Flagging) </w:t>
      </w:r>
      <w:r w:rsidR="00310021">
        <w:rPr>
          <w:b/>
          <w:bCs/>
        </w:rPr>
        <w:t>could</w:t>
      </w:r>
      <w:r w:rsidR="00310021">
        <w:rPr>
          <w:b/>
          <w:bCs/>
        </w:rPr>
        <w:t xml:space="preserve"> </w:t>
      </w:r>
      <w:r>
        <w:rPr>
          <w:b/>
          <w:bCs/>
        </w:rPr>
        <w:t>be captured in the TR with some descriptions.</w:t>
      </w:r>
    </w:p>
    <w:p w14:paraId="232B87D2" w14:textId="77777777" w:rsidR="005F16B4" w:rsidRPr="00CD4C7B" w:rsidRDefault="005F16B4" w:rsidP="005F16B4"/>
    <w:p w14:paraId="19FE1DCF" w14:textId="6C2EFF02" w:rsidR="00CC30CE" w:rsidRPr="006E13D1" w:rsidRDefault="00CC30CE" w:rsidP="00CC30CE">
      <w:pPr>
        <w:pStyle w:val="Heading1"/>
      </w:pPr>
      <w:r>
        <w:t>References</w:t>
      </w:r>
    </w:p>
    <w:p w14:paraId="5806356A" w14:textId="5CD1F3FF" w:rsidR="005F16B4" w:rsidRDefault="00CC30CE" w:rsidP="005F16B4">
      <w:r>
        <w:t xml:space="preserve">[1] </w:t>
      </w:r>
      <w:r w:rsidRPr="00CC30CE">
        <w:t>RP-202094, Revised SID: Study on NR Positioning Enhancements</w:t>
      </w:r>
    </w:p>
    <w:p w14:paraId="0A4FDBD4" w14:textId="34B0F74F" w:rsidR="005F16B4" w:rsidRDefault="005F16B4" w:rsidP="005F16B4">
      <w:pPr>
        <w:jc w:val="both"/>
        <w:rPr>
          <w:rFonts w:eastAsia="minorBidi"/>
          <w:lang w:eastAsia="ko-KR"/>
        </w:rPr>
      </w:pPr>
    </w:p>
    <w:p w14:paraId="040C5A62" w14:textId="77777777" w:rsidR="005F16B4" w:rsidRPr="006E13D1" w:rsidRDefault="005F16B4" w:rsidP="005F16B4">
      <w:pPr>
        <w:jc w:val="both"/>
        <w:rPr>
          <w:noProof/>
        </w:rPr>
      </w:pPr>
    </w:p>
    <w:sectPr w:rsidR="005F16B4"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D0A84DE" w16cex:dateUtc="2021-01-08T17: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36E6A" w14:textId="77777777" w:rsidR="007B12CF" w:rsidRDefault="007B12CF">
      <w:r>
        <w:separator/>
      </w:r>
    </w:p>
  </w:endnote>
  <w:endnote w:type="continuationSeparator" w:id="0">
    <w:p w14:paraId="331F4547" w14:textId="77777777" w:rsidR="007B12CF" w:rsidRDefault="007B12CF">
      <w:r>
        <w:continuationSeparator/>
      </w:r>
    </w:p>
  </w:endnote>
  <w:endnote w:type="continuationNotice" w:id="1">
    <w:p w14:paraId="2429E07C" w14:textId="77777777" w:rsidR="007B12CF" w:rsidRDefault="007B1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B12CF" w:rsidRDefault="007B1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B12CF" w:rsidRDefault="007B1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B12CF" w:rsidRDefault="007B1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8A250" w14:textId="77777777" w:rsidR="007B12CF" w:rsidRDefault="007B12CF">
      <w:r>
        <w:separator/>
      </w:r>
    </w:p>
  </w:footnote>
  <w:footnote w:type="continuationSeparator" w:id="0">
    <w:p w14:paraId="33C4299F" w14:textId="77777777" w:rsidR="007B12CF" w:rsidRDefault="007B12CF">
      <w:r>
        <w:continuationSeparator/>
      </w:r>
    </w:p>
  </w:footnote>
  <w:footnote w:type="continuationNotice" w:id="1">
    <w:p w14:paraId="76DB5636" w14:textId="77777777" w:rsidR="007B12CF" w:rsidRDefault="007B1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B12CF" w:rsidRDefault="007B12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B12CF" w:rsidRDefault="007B1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B12CF" w:rsidRDefault="007B1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38F4"/>
    <w:multiLevelType w:val="hybridMultilevel"/>
    <w:tmpl w:val="3D9CF9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6A7F62"/>
    <w:multiLevelType w:val="hybridMultilevel"/>
    <w:tmpl w:val="71F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6327FC"/>
    <w:multiLevelType w:val="hybridMultilevel"/>
    <w:tmpl w:val="498C1020"/>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8"/>
  </w:num>
  <w:num w:numId="9">
    <w:abstractNumId w:val="13"/>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23C"/>
    <w:rsid w:val="00023C40"/>
    <w:rsid w:val="00033397"/>
    <w:rsid w:val="00040095"/>
    <w:rsid w:val="00073C9C"/>
    <w:rsid w:val="00080512"/>
    <w:rsid w:val="00090468"/>
    <w:rsid w:val="00094568"/>
    <w:rsid w:val="000A6E14"/>
    <w:rsid w:val="000B7BCF"/>
    <w:rsid w:val="000C522B"/>
    <w:rsid w:val="000D144E"/>
    <w:rsid w:val="000D58AB"/>
    <w:rsid w:val="000F48BE"/>
    <w:rsid w:val="000F6999"/>
    <w:rsid w:val="00112F1A"/>
    <w:rsid w:val="00145075"/>
    <w:rsid w:val="001741A0"/>
    <w:rsid w:val="00175FA0"/>
    <w:rsid w:val="00194CD0"/>
    <w:rsid w:val="001B49C9"/>
    <w:rsid w:val="001C1D0A"/>
    <w:rsid w:val="001C23F4"/>
    <w:rsid w:val="001C4F79"/>
    <w:rsid w:val="001C716B"/>
    <w:rsid w:val="001D5138"/>
    <w:rsid w:val="001E1229"/>
    <w:rsid w:val="001F168B"/>
    <w:rsid w:val="001F7831"/>
    <w:rsid w:val="00204045"/>
    <w:rsid w:val="0020712B"/>
    <w:rsid w:val="0022606D"/>
    <w:rsid w:val="00231728"/>
    <w:rsid w:val="00244A05"/>
    <w:rsid w:val="00244B87"/>
    <w:rsid w:val="00250404"/>
    <w:rsid w:val="00260A70"/>
    <w:rsid w:val="002610D8"/>
    <w:rsid w:val="002747EC"/>
    <w:rsid w:val="002855BF"/>
    <w:rsid w:val="002C4906"/>
    <w:rsid w:val="002E01AF"/>
    <w:rsid w:val="002F0D22"/>
    <w:rsid w:val="00310021"/>
    <w:rsid w:val="003103A3"/>
    <w:rsid w:val="00311B17"/>
    <w:rsid w:val="003172DC"/>
    <w:rsid w:val="00325AE3"/>
    <w:rsid w:val="00326069"/>
    <w:rsid w:val="00326583"/>
    <w:rsid w:val="00334E45"/>
    <w:rsid w:val="0035462D"/>
    <w:rsid w:val="00357BBC"/>
    <w:rsid w:val="0036459E"/>
    <w:rsid w:val="00364B41"/>
    <w:rsid w:val="00383096"/>
    <w:rsid w:val="0039346C"/>
    <w:rsid w:val="003A41EF"/>
    <w:rsid w:val="003B40AD"/>
    <w:rsid w:val="003C4E37"/>
    <w:rsid w:val="003D29A3"/>
    <w:rsid w:val="003E16BE"/>
    <w:rsid w:val="003F4E28"/>
    <w:rsid w:val="004006E8"/>
    <w:rsid w:val="00401855"/>
    <w:rsid w:val="00424EC8"/>
    <w:rsid w:val="00450EC4"/>
    <w:rsid w:val="00465587"/>
    <w:rsid w:val="00477455"/>
    <w:rsid w:val="004A1F7B"/>
    <w:rsid w:val="004B0C05"/>
    <w:rsid w:val="004C44D2"/>
    <w:rsid w:val="004C70EF"/>
    <w:rsid w:val="004D3578"/>
    <w:rsid w:val="004D380D"/>
    <w:rsid w:val="004E213A"/>
    <w:rsid w:val="004E46C6"/>
    <w:rsid w:val="00503171"/>
    <w:rsid w:val="00506C28"/>
    <w:rsid w:val="00534DA0"/>
    <w:rsid w:val="00536FF3"/>
    <w:rsid w:val="00543E6C"/>
    <w:rsid w:val="00565087"/>
    <w:rsid w:val="0056573F"/>
    <w:rsid w:val="00571279"/>
    <w:rsid w:val="00596579"/>
    <w:rsid w:val="005A49C6"/>
    <w:rsid w:val="005C2837"/>
    <w:rsid w:val="005D1BAB"/>
    <w:rsid w:val="005F16B4"/>
    <w:rsid w:val="00604FF3"/>
    <w:rsid w:val="00611173"/>
    <w:rsid w:val="00611566"/>
    <w:rsid w:val="00646D99"/>
    <w:rsid w:val="00656910"/>
    <w:rsid w:val="006574C0"/>
    <w:rsid w:val="00665BF4"/>
    <w:rsid w:val="006674C8"/>
    <w:rsid w:val="006952AC"/>
    <w:rsid w:val="00696821"/>
    <w:rsid w:val="006C66D8"/>
    <w:rsid w:val="006D1E24"/>
    <w:rsid w:val="006D35DE"/>
    <w:rsid w:val="006E1417"/>
    <w:rsid w:val="006F6A2C"/>
    <w:rsid w:val="007069DC"/>
    <w:rsid w:val="00710201"/>
    <w:rsid w:val="0072073A"/>
    <w:rsid w:val="00733D15"/>
    <w:rsid w:val="007342B5"/>
    <w:rsid w:val="00734A5B"/>
    <w:rsid w:val="007415A9"/>
    <w:rsid w:val="00741FF6"/>
    <w:rsid w:val="00744E76"/>
    <w:rsid w:val="00757D40"/>
    <w:rsid w:val="00757FC7"/>
    <w:rsid w:val="007662B5"/>
    <w:rsid w:val="00767EED"/>
    <w:rsid w:val="00781F0F"/>
    <w:rsid w:val="0078727C"/>
    <w:rsid w:val="0079049D"/>
    <w:rsid w:val="00793DC5"/>
    <w:rsid w:val="007B12CF"/>
    <w:rsid w:val="007B18D8"/>
    <w:rsid w:val="007C095F"/>
    <w:rsid w:val="007C2DD0"/>
    <w:rsid w:val="007D7D2E"/>
    <w:rsid w:val="007F2E08"/>
    <w:rsid w:val="008028A4"/>
    <w:rsid w:val="00812A6D"/>
    <w:rsid w:val="00813245"/>
    <w:rsid w:val="0082770F"/>
    <w:rsid w:val="00837CCF"/>
    <w:rsid w:val="00840DE0"/>
    <w:rsid w:val="0086354A"/>
    <w:rsid w:val="008768CA"/>
    <w:rsid w:val="00877EF9"/>
    <w:rsid w:val="00880559"/>
    <w:rsid w:val="008A5811"/>
    <w:rsid w:val="008A675E"/>
    <w:rsid w:val="008B5306"/>
    <w:rsid w:val="008C2E2A"/>
    <w:rsid w:val="008C3057"/>
    <w:rsid w:val="008D2E4D"/>
    <w:rsid w:val="008F396F"/>
    <w:rsid w:val="008F3DCD"/>
    <w:rsid w:val="0090271F"/>
    <w:rsid w:val="00902DB9"/>
    <w:rsid w:val="0090466A"/>
    <w:rsid w:val="009164FF"/>
    <w:rsid w:val="00923655"/>
    <w:rsid w:val="00926B0C"/>
    <w:rsid w:val="00936071"/>
    <w:rsid w:val="009376CD"/>
    <w:rsid w:val="00940212"/>
    <w:rsid w:val="00942EC2"/>
    <w:rsid w:val="00951D4D"/>
    <w:rsid w:val="00961B32"/>
    <w:rsid w:val="00962509"/>
    <w:rsid w:val="00970DB3"/>
    <w:rsid w:val="00974BB0"/>
    <w:rsid w:val="00975BCD"/>
    <w:rsid w:val="009928A9"/>
    <w:rsid w:val="00996186"/>
    <w:rsid w:val="009A0AF3"/>
    <w:rsid w:val="009B07CD"/>
    <w:rsid w:val="009C19E9"/>
    <w:rsid w:val="009C1E3C"/>
    <w:rsid w:val="009D74A6"/>
    <w:rsid w:val="009E0E87"/>
    <w:rsid w:val="009F35A1"/>
    <w:rsid w:val="00A10F02"/>
    <w:rsid w:val="00A204CA"/>
    <w:rsid w:val="00A209D6"/>
    <w:rsid w:val="00A22738"/>
    <w:rsid w:val="00A35BAB"/>
    <w:rsid w:val="00A53724"/>
    <w:rsid w:val="00A54B2B"/>
    <w:rsid w:val="00A56299"/>
    <w:rsid w:val="00A60AB6"/>
    <w:rsid w:val="00A82346"/>
    <w:rsid w:val="00A933FB"/>
    <w:rsid w:val="00A94027"/>
    <w:rsid w:val="00A9671C"/>
    <w:rsid w:val="00AA1553"/>
    <w:rsid w:val="00AD21D7"/>
    <w:rsid w:val="00AD23D7"/>
    <w:rsid w:val="00AF1539"/>
    <w:rsid w:val="00AF3392"/>
    <w:rsid w:val="00B05380"/>
    <w:rsid w:val="00B05962"/>
    <w:rsid w:val="00B15449"/>
    <w:rsid w:val="00B16C2F"/>
    <w:rsid w:val="00B1766B"/>
    <w:rsid w:val="00B24BB5"/>
    <w:rsid w:val="00B27303"/>
    <w:rsid w:val="00B41FCC"/>
    <w:rsid w:val="00B47FD1"/>
    <w:rsid w:val="00B516BB"/>
    <w:rsid w:val="00B825B5"/>
    <w:rsid w:val="00B84DB2"/>
    <w:rsid w:val="00BB602E"/>
    <w:rsid w:val="00BC3555"/>
    <w:rsid w:val="00BC7CCE"/>
    <w:rsid w:val="00BD1B0D"/>
    <w:rsid w:val="00BD5427"/>
    <w:rsid w:val="00C12B51"/>
    <w:rsid w:val="00C176FB"/>
    <w:rsid w:val="00C17B3F"/>
    <w:rsid w:val="00C24650"/>
    <w:rsid w:val="00C25465"/>
    <w:rsid w:val="00C33079"/>
    <w:rsid w:val="00C46A3A"/>
    <w:rsid w:val="00C6553E"/>
    <w:rsid w:val="00C805FE"/>
    <w:rsid w:val="00C81C33"/>
    <w:rsid w:val="00C83A13"/>
    <w:rsid w:val="00C85AC2"/>
    <w:rsid w:val="00C9068C"/>
    <w:rsid w:val="00C92967"/>
    <w:rsid w:val="00CA3D0C"/>
    <w:rsid w:val="00CA654B"/>
    <w:rsid w:val="00CB72B8"/>
    <w:rsid w:val="00CC30CE"/>
    <w:rsid w:val="00CC7BB1"/>
    <w:rsid w:val="00CD4C7B"/>
    <w:rsid w:val="00CD58FE"/>
    <w:rsid w:val="00D33BE3"/>
    <w:rsid w:val="00D3792D"/>
    <w:rsid w:val="00D5137B"/>
    <w:rsid w:val="00D55E47"/>
    <w:rsid w:val="00D62E19"/>
    <w:rsid w:val="00D67CD1"/>
    <w:rsid w:val="00D71C8F"/>
    <w:rsid w:val="00D738D6"/>
    <w:rsid w:val="00D80795"/>
    <w:rsid w:val="00D854BE"/>
    <w:rsid w:val="00D87E00"/>
    <w:rsid w:val="00D9134D"/>
    <w:rsid w:val="00D96D11"/>
    <w:rsid w:val="00DA7A03"/>
    <w:rsid w:val="00DB0DB8"/>
    <w:rsid w:val="00DB1818"/>
    <w:rsid w:val="00DC309B"/>
    <w:rsid w:val="00DC4DA2"/>
    <w:rsid w:val="00DC5261"/>
    <w:rsid w:val="00DDA8C6"/>
    <w:rsid w:val="00DE25D2"/>
    <w:rsid w:val="00DF5387"/>
    <w:rsid w:val="00E01AFA"/>
    <w:rsid w:val="00E13AD2"/>
    <w:rsid w:val="00E15F45"/>
    <w:rsid w:val="00E329A8"/>
    <w:rsid w:val="00E46C08"/>
    <w:rsid w:val="00E471CF"/>
    <w:rsid w:val="00E62835"/>
    <w:rsid w:val="00E77645"/>
    <w:rsid w:val="00E83697"/>
    <w:rsid w:val="00E95CB4"/>
    <w:rsid w:val="00EA66C9"/>
    <w:rsid w:val="00EC4A25"/>
    <w:rsid w:val="00EF612C"/>
    <w:rsid w:val="00F025A2"/>
    <w:rsid w:val="00F036E9"/>
    <w:rsid w:val="00F07388"/>
    <w:rsid w:val="00F17213"/>
    <w:rsid w:val="00F2026E"/>
    <w:rsid w:val="00F2210A"/>
    <w:rsid w:val="00F37743"/>
    <w:rsid w:val="00F54A3D"/>
    <w:rsid w:val="00F54CB0"/>
    <w:rsid w:val="00F579CD"/>
    <w:rsid w:val="00F653B8"/>
    <w:rsid w:val="00F71B89"/>
    <w:rsid w:val="00F7353C"/>
    <w:rsid w:val="00F76F8F"/>
    <w:rsid w:val="00F941DF"/>
    <w:rsid w:val="00FA1266"/>
    <w:rsid w:val="00FA2E1A"/>
    <w:rsid w:val="00FB16B8"/>
    <w:rsid w:val="00FB36FA"/>
    <w:rsid w:val="00FB799D"/>
    <w:rsid w:val="00FC1192"/>
    <w:rsid w:val="00FD1EED"/>
    <w:rsid w:val="00FE251B"/>
    <w:rsid w:val="02173AC3"/>
    <w:rsid w:val="03D44221"/>
    <w:rsid w:val="03E1A3E4"/>
    <w:rsid w:val="04D7C6C7"/>
    <w:rsid w:val="04E8AE66"/>
    <w:rsid w:val="071327C6"/>
    <w:rsid w:val="089B89EE"/>
    <w:rsid w:val="08E09B4F"/>
    <w:rsid w:val="0A7C6BB0"/>
    <w:rsid w:val="0A9D9E34"/>
    <w:rsid w:val="0C882D80"/>
    <w:rsid w:val="12226DDD"/>
    <w:rsid w:val="1542A9F8"/>
    <w:rsid w:val="1550F66E"/>
    <w:rsid w:val="1695772E"/>
    <w:rsid w:val="177316FA"/>
    <w:rsid w:val="184DB58C"/>
    <w:rsid w:val="1A344F26"/>
    <w:rsid w:val="1B4A1C3A"/>
    <w:rsid w:val="1B8ABAF3"/>
    <w:rsid w:val="1BA276B1"/>
    <w:rsid w:val="1C9608B3"/>
    <w:rsid w:val="1DED446E"/>
    <w:rsid w:val="1E282CF5"/>
    <w:rsid w:val="21A44C13"/>
    <w:rsid w:val="21B96397"/>
    <w:rsid w:val="23C32731"/>
    <w:rsid w:val="244EEFB4"/>
    <w:rsid w:val="24E0A782"/>
    <w:rsid w:val="25FA6104"/>
    <w:rsid w:val="26367029"/>
    <w:rsid w:val="27FB7344"/>
    <w:rsid w:val="288010F2"/>
    <w:rsid w:val="2AD256C7"/>
    <w:rsid w:val="2BCE3916"/>
    <w:rsid w:val="2C94263C"/>
    <w:rsid w:val="2DD56EC3"/>
    <w:rsid w:val="308E7CC0"/>
    <w:rsid w:val="3215249C"/>
    <w:rsid w:val="32305A4B"/>
    <w:rsid w:val="324E839B"/>
    <w:rsid w:val="3476355C"/>
    <w:rsid w:val="375C13B2"/>
    <w:rsid w:val="376E0F17"/>
    <w:rsid w:val="3858B567"/>
    <w:rsid w:val="3B9FD08E"/>
    <w:rsid w:val="3BDAC151"/>
    <w:rsid w:val="3C129AC4"/>
    <w:rsid w:val="3C8C3878"/>
    <w:rsid w:val="40CEF58B"/>
    <w:rsid w:val="423E0A61"/>
    <w:rsid w:val="42794BE6"/>
    <w:rsid w:val="42CE02F1"/>
    <w:rsid w:val="43893753"/>
    <w:rsid w:val="4489915D"/>
    <w:rsid w:val="4647DE57"/>
    <w:rsid w:val="47CCED1C"/>
    <w:rsid w:val="4892B044"/>
    <w:rsid w:val="48AD8733"/>
    <w:rsid w:val="492E68E6"/>
    <w:rsid w:val="49F7D63E"/>
    <w:rsid w:val="4A28355A"/>
    <w:rsid w:val="4C352D2E"/>
    <w:rsid w:val="4C4AA9A9"/>
    <w:rsid w:val="4DEE743B"/>
    <w:rsid w:val="4EAEF795"/>
    <w:rsid w:val="4F411BEE"/>
    <w:rsid w:val="5068286F"/>
    <w:rsid w:val="5119A752"/>
    <w:rsid w:val="52862E03"/>
    <w:rsid w:val="52B577B3"/>
    <w:rsid w:val="53ED3799"/>
    <w:rsid w:val="53F401DF"/>
    <w:rsid w:val="544C3F9A"/>
    <w:rsid w:val="5574CB6A"/>
    <w:rsid w:val="55FBDAFA"/>
    <w:rsid w:val="593E661C"/>
    <w:rsid w:val="59DA67A5"/>
    <w:rsid w:val="5C5AED47"/>
    <w:rsid w:val="5CF32C90"/>
    <w:rsid w:val="5E0439EF"/>
    <w:rsid w:val="5ED78FBC"/>
    <w:rsid w:val="5EFF73D9"/>
    <w:rsid w:val="5F763E0E"/>
    <w:rsid w:val="6103058C"/>
    <w:rsid w:val="6146E0CC"/>
    <w:rsid w:val="61B22518"/>
    <w:rsid w:val="61F02825"/>
    <w:rsid w:val="63DAEB1C"/>
    <w:rsid w:val="664B52FF"/>
    <w:rsid w:val="667B5E5D"/>
    <w:rsid w:val="681FE26E"/>
    <w:rsid w:val="69BF8E92"/>
    <w:rsid w:val="6A088F9E"/>
    <w:rsid w:val="6AF6AE7B"/>
    <w:rsid w:val="6B33736A"/>
    <w:rsid w:val="6CEE499A"/>
    <w:rsid w:val="70EFCE09"/>
    <w:rsid w:val="71CC0714"/>
    <w:rsid w:val="7363EBBC"/>
    <w:rsid w:val="73AA1125"/>
    <w:rsid w:val="76065244"/>
    <w:rsid w:val="778C57B4"/>
    <w:rsid w:val="77E4AF46"/>
    <w:rsid w:val="78D6EF3B"/>
    <w:rsid w:val="78FF0891"/>
    <w:rsid w:val="7C16B7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9744DE5"/>
  <w15:chartTrackingRefBased/>
  <w15:docId w15:val="{F0808538-CD3B-467C-8E6B-044DD92F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paragraph" w:customStyle="1" w:styleId="Doc-text2">
    <w:name w:val="Doc-text2"/>
    <w:basedOn w:val="Normal"/>
    <w:link w:val="Doc-text2Char"/>
    <w:qFormat/>
    <w:rsid w:val="00E329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29A8"/>
    <w:rPr>
      <w:rFonts w:ascii="Arial" w:eastAsia="MS Mincho" w:hAnsi="Arial"/>
      <w:szCs w:val="24"/>
    </w:rPr>
  </w:style>
  <w:style w:type="paragraph" w:styleId="Caption">
    <w:name w:val="caption"/>
    <w:basedOn w:val="Normal"/>
    <w:next w:val="Normal"/>
    <w:unhideWhenUsed/>
    <w:qFormat/>
    <w:rsid w:val="009C1E3C"/>
    <w:pPr>
      <w:spacing w:after="200"/>
    </w:pPr>
    <w:rPr>
      <w:i/>
      <w:iCs/>
      <w:color w:val="44546A" w:themeColor="text2"/>
      <w:sz w:val="18"/>
      <w:szCs w:val="18"/>
    </w:rPr>
  </w:style>
  <w:style w:type="character" w:customStyle="1" w:styleId="Heading4Char">
    <w:name w:val="Heading 4 Char"/>
    <w:basedOn w:val="DefaultParagraphFont"/>
    <w:link w:val="Heading4"/>
    <w:rsid w:val="002E01AF"/>
    <w:rPr>
      <w:rFonts w:ascii="Arial" w:hAnsi="Arial"/>
      <w:sz w:val="24"/>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character" w:styleId="CommentReference">
    <w:name w:val="annotation reference"/>
    <w:basedOn w:val="DefaultParagraphFont"/>
    <w:qFormat/>
    <w:rPr>
      <w:sz w:val="16"/>
      <w:szCs w:val="16"/>
    </w:rPr>
  </w:style>
  <w:style w:type="paragraph" w:styleId="CommentSubject">
    <w:name w:val="annotation subject"/>
    <w:basedOn w:val="CommentText"/>
    <w:next w:val="CommentText"/>
    <w:link w:val="CommentSubjectChar"/>
    <w:rsid w:val="00BD5427"/>
    <w:rPr>
      <w:b/>
      <w:bCs/>
    </w:rPr>
  </w:style>
  <w:style w:type="character" w:customStyle="1" w:styleId="CommentSubjectChar">
    <w:name w:val="Comment Subject Char"/>
    <w:basedOn w:val="CommentTextChar"/>
    <w:link w:val="CommentSubject"/>
    <w:rsid w:val="00BD542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0164">
      <w:bodyDiv w:val="1"/>
      <w:marLeft w:val="0"/>
      <w:marRight w:val="0"/>
      <w:marTop w:val="0"/>
      <w:marBottom w:val="0"/>
      <w:divBdr>
        <w:top w:val="none" w:sz="0" w:space="0" w:color="auto"/>
        <w:left w:val="none" w:sz="0" w:space="0" w:color="auto"/>
        <w:bottom w:val="none" w:sz="0" w:space="0" w:color="auto"/>
        <w:right w:val="none" w:sz="0" w:space="0" w:color="auto"/>
      </w:divBdr>
    </w:div>
    <w:div w:id="457459642">
      <w:bodyDiv w:val="1"/>
      <w:marLeft w:val="0"/>
      <w:marRight w:val="0"/>
      <w:marTop w:val="0"/>
      <w:marBottom w:val="0"/>
      <w:divBdr>
        <w:top w:val="none" w:sz="0" w:space="0" w:color="auto"/>
        <w:left w:val="none" w:sz="0" w:space="0" w:color="auto"/>
        <w:bottom w:val="none" w:sz="0" w:space="0" w:color="auto"/>
        <w:right w:val="none" w:sz="0" w:space="0" w:color="auto"/>
      </w:divBdr>
    </w:div>
    <w:div w:id="4956151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4421453">
      <w:bodyDiv w:val="1"/>
      <w:marLeft w:val="0"/>
      <w:marRight w:val="0"/>
      <w:marTop w:val="0"/>
      <w:marBottom w:val="0"/>
      <w:divBdr>
        <w:top w:val="none" w:sz="0" w:space="0" w:color="auto"/>
        <w:left w:val="none" w:sz="0" w:space="0" w:color="auto"/>
        <w:bottom w:val="none" w:sz="0" w:space="0" w:color="auto"/>
        <w:right w:val="none" w:sz="0" w:space="0" w:color="auto"/>
      </w:divBdr>
    </w:div>
    <w:div w:id="204938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5AIRPNAIUNRU-859666464-7969</_dlc_DocId>
    <_dlc_DocIdUrl xmlns="71c5aaf6-e6ce-465b-b873-5148d2a4c105">
      <Url>https://nokia.sharepoint.com/sites/c5g/e2earch/_layouts/15/DocIdRedir.aspx?ID=5AIRPNAIUNRU-859666464-7969</Url>
      <Description>5AIRPNAIUNRU-859666464-7969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cp:revision>
  <dcterms:created xsi:type="dcterms:W3CDTF">2021-01-06T06:53:00Z</dcterms:created>
  <dcterms:modified xsi:type="dcterms:W3CDTF">2021-01-14T11:44:00Z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725d450b-54b8-450c-a8ba-9c61e6675ab4</vt:lpwstr>
  </property>
</Properties>
</file>